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D6C9A">
      <w:pPr>
        <w:snapToGrid w:val="0"/>
        <w:spacing w:line="360" w:lineRule="auto"/>
        <w:ind w:firstLine="2249" w:firstLineChars="800"/>
        <w:jc w:val="both"/>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202</w:t>
      </w:r>
      <w:r>
        <w:rPr>
          <w:rFonts w:hint="eastAsia" w:ascii="宋体" w:hAnsi="宋体" w:eastAsia="宋体" w:cs="宋体"/>
          <w:b/>
          <w:bCs/>
          <w:color w:val="auto"/>
          <w:sz w:val="28"/>
          <w:szCs w:val="28"/>
          <w:lang w:val="en-US" w:eastAsia="zh-CN"/>
        </w:rPr>
        <w:t>5</w:t>
      </w:r>
      <w:r>
        <w:rPr>
          <w:rFonts w:hint="eastAsia" w:ascii="宋体" w:hAnsi="宋体" w:eastAsia="宋体" w:cs="宋体"/>
          <w:b/>
          <w:bCs/>
          <w:color w:val="auto"/>
          <w:sz w:val="28"/>
          <w:szCs w:val="28"/>
          <w:lang w:eastAsia="zh-CN"/>
        </w:rPr>
        <w:t>-202</w:t>
      </w:r>
      <w:r>
        <w:rPr>
          <w:rFonts w:hint="eastAsia" w:ascii="宋体" w:hAnsi="宋体" w:eastAsia="宋体" w:cs="宋体"/>
          <w:b/>
          <w:bCs/>
          <w:color w:val="auto"/>
          <w:sz w:val="28"/>
          <w:szCs w:val="28"/>
          <w:lang w:val="en-US" w:eastAsia="zh-CN"/>
        </w:rPr>
        <w:t>6</w:t>
      </w:r>
      <w:r>
        <w:rPr>
          <w:rFonts w:hint="eastAsia" w:ascii="宋体" w:hAnsi="宋体" w:eastAsia="宋体" w:cs="宋体"/>
          <w:b/>
          <w:bCs/>
          <w:color w:val="auto"/>
          <w:sz w:val="28"/>
          <w:szCs w:val="28"/>
          <w:lang w:eastAsia="zh-CN"/>
        </w:rPr>
        <w:t>学年第一学期</w:t>
      </w:r>
      <w:r>
        <w:rPr>
          <w:rFonts w:hint="eastAsia" w:ascii="宋体" w:hAnsi="宋体" w:eastAsia="宋体" w:cs="宋体"/>
          <w:b/>
          <w:bCs/>
          <w:color w:val="auto"/>
          <w:sz w:val="28"/>
          <w:szCs w:val="28"/>
          <w:lang w:val="en-US" w:eastAsia="zh-CN"/>
        </w:rPr>
        <w:t>10</w:t>
      </w:r>
      <w:r>
        <w:rPr>
          <w:rFonts w:hint="eastAsia" w:ascii="宋体" w:hAnsi="宋体" w:eastAsia="宋体" w:cs="宋体"/>
          <w:b/>
          <w:bCs/>
          <w:color w:val="auto"/>
          <w:sz w:val="28"/>
          <w:szCs w:val="28"/>
          <w:lang w:eastAsia="zh-CN"/>
        </w:rPr>
        <w:t>月单元过关考试</w:t>
      </w:r>
    </w:p>
    <w:p w14:paraId="30DC1ABA">
      <w:pPr>
        <w:adjustRightInd w:val="0"/>
        <w:spacing w:line="360" w:lineRule="auto"/>
        <w:ind w:firstLine="3962" w:firstLineChars="900"/>
        <w:jc w:val="both"/>
        <w:rPr>
          <w:rFonts w:ascii="宋体" w:hAnsi="宋体"/>
          <w:b/>
          <w:bCs/>
          <w:color w:val="auto"/>
          <w:sz w:val="44"/>
          <w:szCs w:val="44"/>
          <w:lang w:eastAsia="zh-CN"/>
        </w:rPr>
      </w:pPr>
      <w:r>
        <w:rPr>
          <w:rFonts w:hint="eastAsia" w:ascii="宋体" w:hAnsi="宋体"/>
          <w:b/>
          <w:bCs/>
          <w:color w:val="auto"/>
          <w:sz w:val="44"/>
          <w:szCs w:val="44"/>
          <w:lang w:eastAsia="zh-CN"/>
        </w:rPr>
        <w:t>高三政治</w:t>
      </w:r>
    </w:p>
    <w:p w14:paraId="06FA0FB1">
      <w:pPr>
        <w:adjustRightInd w:val="0"/>
        <w:spacing w:line="360" w:lineRule="auto"/>
        <w:jc w:val="center"/>
        <w:rPr>
          <w:color w:val="auto"/>
          <w:szCs w:val="32"/>
          <w:lang w:eastAsia="zh-CN"/>
        </w:rPr>
      </w:pPr>
      <w:r>
        <w:rPr>
          <w:rFonts w:hint="eastAsia" w:ascii="宋体" w:hAnsi="宋体" w:eastAsia="宋体" w:cs="宋体"/>
          <w:b/>
          <w:bCs/>
          <w:color w:val="auto"/>
          <w:sz w:val="21"/>
          <w:szCs w:val="21"/>
          <w:lang w:eastAsia="zh-CN"/>
        </w:rPr>
        <w:t>时间：90分钟    命题人：张慎营   审核：高三一部政治组</w:t>
      </w:r>
    </w:p>
    <w:p w14:paraId="42389CAB">
      <w:pPr>
        <w:adjustRightInd w:val="0"/>
        <w:spacing w:line="360" w:lineRule="auto"/>
        <w:ind w:firstLine="2641" w:firstLineChars="1100"/>
        <w:jc w:val="both"/>
        <w:rPr>
          <w:rFonts w:ascii="宋体" w:hAnsi="宋体"/>
          <w:b/>
          <w:color w:val="auto"/>
          <w:lang w:eastAsia="zh-CN"/>
        </w:rPr>
      </w:pPr>
      <w:r>
        <w:rPr>
          <w:rFonts w:hint="eastAsia" w:ascii="宋体" w:hAnsi="宋体"/>
          <w:b/>
          <w:color w:val="auto"/>
          <w:lang w:eastAsia="zh-CN"/>
        </w:rPr>
        <w:t>第Ⅰ卷（</w:t>
      </w:r>
      <w:r>
        <w:rPr>
          <w:rFonts w:hint="eastAsia" w:ascii="宋体" w:hAnsi="宋体" w:eastAsia="宋体"/>
          <w:b/>
          <w:color w:val="auto"/>
          <w:lang w:eastAsia="zh-CN"/>
        </w:rPr>
        <w:t>选择题，</w:t>
      </w:r>
      <w:r>
        <w:rPr>
          <w:rFonts w:hint="eastAsia" w:ascii="宋体" w:hAnsi="宋体"/>
          <w:b/>
          <w:color w:val="auto"/>
          <w:lang w:eastAsia="zh-CN"/>
        </w:rPr>
        <w:t>共</w:t>
      </w:r>
      <w:r>
        <w:rPr>
          <w:rFonts w:hint="eastAsia" w:ascii="宋体" w:hAnsi="宋体" w:eastAsia="宋体"/>
          <w:b/>
          <w:color w:val="auto"/>
          <w:lang w:eastAsia="zh-CN"/>
        </w:rPr>
        <w:t>60</w:t>
      </w:r>
      <w:r>
        <w:rPr>
          <w:rFonts w:hint="eastAsia" w:ascii="宋体" w:hAnsi="宋体"/>
          <w:b/>
          <w:color w:val="auto"/>
          <w:lang w:eastAsia="zh-CN"/>
        </w:rPr>
        <w:t>分）</w:t>
      </w:r>
    </w:p>
    <w:p w14:paraId="10DF1BC6">
      <w:pPr>
        <w:numPr>
          <w:ilvl w:val="0"/>
          <w:numId w:val="1"/>
        </w:numPr>
        <w:rPr>
          <w:rFonts w:hint="eastAsia" w:ascii="黑体" w:hAnsi="黑体" w:eastAsia="黑体"/>
          <w:color w:val="auto"/>
          <w:szCs w:val="21"/>
        </w:rPr>
      </w:pPr>
      <w:r>
        <w:rPr>
          <w:rFonts w:hint="eastAsia" w:ascii="黑体" w:hAnsi="黑体" w:eastAsia="黑体"/>
          <w:color w:val="auto"/>
          <w:szCs w:val="21"/>
          <w:lang w:eastAsia="zh-CN"/>
        </w:rPr>
        <w:t>选择题（本题共30小题，每小题2分。在每小题给出的四个选项中，只有一项是符合题目要求的。</w:t>
      </w:r>
      <w:r>
        <w:rPr>
          <w:rFonts w:hint="eastAsia" w:ascii="黑体" w:hAnsi="黑体" w:eastAsia="黑体"/>
          <w:color w:val="auto"/>
          <w:szCs w:val="21"/>
        </w:rPr>
        <w:t>）</w:t>
      </w:r>
    </w:p>
    <w:p w14:paraId="55A7901E">
      <w:pPr>
        <w:jc w:val="both"/>
        <w:textAlignment w:val="center"/>
        <w:rPr>
          <w:rFonts w:hint="eastAsia" w:ascii="Times New Roman" w:hAnsi="Times New Roman" w:eastAsia="Times New Roman" w:cs="Times New Roman"/>
          <w:color w:val="auto"/>
          <w:lang w:eastAsia="zh-CN"/>
        </w:rPr>
      </w:pPr>
      <w:r>
        <w:rPr>
          <w:rFonts w:hint="eastAsia" w:ascii="Times New Roman" w:hAnsi="Times New Roman" w:eastAsia="Times New Roman" w:cs="Times New Roman"/>
          <w:color w:val="auto"/>
          <w:lang w:val="en-US" w:eastAsia="zh-CN"/>
        </w:rPr>
        <w:t>1</w:t>
      </w:r>
      <w:r>
        <w:rPr>
          <w:rFonts w:hint="eastAsia" w:ascii="Times New Roman" w:hAnsi="Times New Roman" w:eastAsia="Times New Roman" w:cs="Times New Roman"/>
          <w:color w:val="auto"/>
          <w:lang w:eastAsia="zh-CN"/>
        </w:rPr>
        <w:t>．自党的十八大提出“两个毫不动摇”以来，我国民营经济获得了快速发展。近日，司法部、国家发展改革委公布《中华人民共和国民营经济促进法（草案征求意见稿）》，向社会公开征求意见。下列是该法草案中的部分内容。</w:t>
      </w:r>
    </w:p>
    <w:tbl>
      <w:tblPr>
        <w:tblStyle w:val="7"/>
        <w:tblW w:w="9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762"/>
      </w:tblGrid>
      <w:tr w14:paraId="1142E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9762"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5FCE0BF">
            <w:pPr>
              <w:jc w:val="both"/>
              <w:textAlignment w:val="center"/>
              <w:rPr>
                <w:rFonts w:hint="eastAsia" w:ascii="Times New Roman" w:hAnsi="Times New Roman" w:eastAsia="Times New Roman" w:cs="Times New Roman"/>
                <w:color w:val="auto"/>
                <w:lang w:eastAsia="zh-CN"/>
              </w:rPr>
            </w:pPr>
            <w:r>
              <w:rPr>
                <w:rFonts w:hint="eastAsia" w:ascii="Times New Roman" w:hAnsi="Times New Roman" w:eastAsia="Times New Roman" w:cs="Times New Roman"/>
                <w:color w:val="auto"/>
                <w:lang w:eastAsia="zh-CN"/>
              </w:rPr>
              <w:t>◆国家实行全国统一的市场准入负面清单制度。市场准入负面清单以外的领域，包括民营经济组织在内的各类经济组织可以依法平等进入。</w:t>
            </w:r>
          </w:p>
          <w:p w14:paraId="16062403">
            <w:pPr>
              <w:jc w:val="both"/>
              <w:textAlignment w:val="center"/>
              <w:rPr>
                <w:rFonts w:hint="eastAsia" w:ascii="Times New Roman" w:hAnsi="Times New Roman" w:eastAsia="Times New Roman" w:cs="Times New Roman"/>
                <w:color w:val="auto"/>
                <w:lang w:eastAsia="zh-CN"/>
              </w:rPr>
            </w:pPr>
            <w:r>
              <w:rPr>
                <w:rFonts w:hint="eastAsia" w:ascii="Times New Roman" w:hAnsi="Times New Roman" w:eastAsia="Times New Roman" w:cs="Times New Roman"/>
                <w:color w:val="auto"/>
                <w:lang w:eastAsia="zh-CN"/>
              </w:rPr>
              <w:t>◆支持民营经济组织在战略性新兴产业、未来产业等领域投资和创业，鼓励开展传统产业转型升级，参与现代化基础设施投资建设。</w:t>
            </w:r>
          </w:p>
        </w:tc>
      </w:tr>
    </w:tbl>
    <w:p w14:paraId="42C0D7AC">
      <w:pPr>
        <w:jc w:val="both"/>
        <w:textAlignment w:val="center"/>
        <w:rPr>
          <w:rFonts w:hint="eastAsia" w:ascii="Times New Roman" w:hAnsi="Times New Roman" w:eastAsia="Times New Roman" w:cs="Times New Roman"/>
          <w:color w:val="auto"/>
          <w:lang w:eastAsia="zh-CN"/>
        </w:rPr>
      </w:pPr>
      <w:r>
        <w:rPr>
          <w:rFonts w:hint="eastAsia" w:ascii="Times New Roman" w:hAnsi="Times New Roman" w:eastAsia="Times New Roman" w:cs="Times New Roman"/>
          <w:color w:val="auto"/>
          <w:lang w:eastAsia="zh-CN"/>
        </w:rPr>
        <w:t>上述材料表明（</w:t>
      </w:r>
      <w:r>
        <w:rPr>
          <w:rFonts w:hint="eastAsia" w:ascii="Times New Roman" w:hAnsi="Times New Roman" w:eastAsia="Times New Roman" w:cs="Times New Roman"/>
          <w:color w:val="auto"/>
          <w:lang w:val="en-US" w:eastAsia="zh-CN"/>
        </w:rPr>
        <w:t xml:space="preserve">  </w:t>
      </w:r>
      <w:r>
        <w:rPr>
          <w:rFonts w:hint="eastAsia" w:ascii="Times New Roman" w:hAnsi="Times New Roman" w:eastAsia="Times New Roman" w:cs="Times New Roman"/>
          <w:color w:val="auto"/>
          <w:lang w:eastAsia="zh-CN"/>
        </w:rPr>
        <w:t>）</w:t>
      </w:r>
    </w:p>
    <w:p w14:paraId="0019F197">
      <w:pPr>
        <w:jc w:val="both"/>
        <w:textAlignment w:val="center"/>
        <w:rPr>
          <w:rFonts w:hint="eastAsia" w:ascii="Times New Roman" w:hAnsi="Times New Roman" w:eastAsia="Times New Roman" w:cs="Times New Roman"/>
          <w:color w:val="auto"/>
          <w:lang w:eastAsia="zh-CN"/>
        </w:rPr>
      </w:pPr>
      <w:r>
        <w:rPr>
          <w:rFonts w:hint="eastAsia" w:ascii="Times New Roman" w:hAnsi="Times New Roman" w:eastAsia="Times New Roman" w:cs="Times New Roman"/>
          <w:color w:val="auto"/>
          <w:lang w:eastAsia="zh-CN"/>
        </w:rPr>
        <w:t>①加快结构调整，推动民营经济向关系国民经济命脉的重要行业集中</w:t>
      </w:r>
    </w:p>
    <w:p w14:paraId="234D095A">
      <w:pPr>
        <w:jc w:val="both"/>
        <w:textAlignment w:val="center"/>
        <w:rPr>
          <w:rFonts w:hint="eastAsia" w:ascii="Times New Roman" w:hAnsi="Times New Roman" w:eastAsia="Times New Roman" w:cs="Times New Roman"/>
          <w:color w:val="auto"/>
          <w:lang w:eastAsia="zh-CN"/>
        </w:rPr>
      </w:pPr>
      <w:r>
        <w:rPr>
          <w:rFonts w:hint="eastAsia" w:ascii="Times New Roman" w:hAnsi="Times New Roman" w:eastAsia="Times New Roman" w:cs="Times New Roman"/>
          <w:color w:val="auto"/>
          <w:lang w:eastAsia="zh-CN"/>
        </w:rPr>
        <w:t>②优化营商环境，为民营经济组织的投资和创业提供有效的法律保障</w:t>
      </w:r>
    </w:p>
    <w:p w14:paraId="5E5C7840">
      <w:pPr>
        <w:jc w:val="both"/>
        <w:textAlignment w:val="center"/>
        <w:rPr>
          <w:rFonts w:hint="eastAsia" w:ascii="Times New Roman" w:hAnsi="Times New Roman" w:eastAsia="Times New Roman" w:cs="Times New Roman"/>
          <w:color w:val="auto"/>
          <w:lang w:eastAsia="zh-CN"/>
        </w:rPr>
      </w:pPr>
      <w:r>
        <w:rPr>
          <w:rFonts w:hint="eastAsia" w:ascii="Times New Roman" w:hAnsi="Times New Roman" w:eastAsia="Times New Roman" w:cs="Times New Roman"/>
          <w:color w:val="auto"/>
          <w:lang w:eastAsia="zh-CN"/>
        </w:rPr>
        <w:t>③降低制度性成本，支持民营企业完善管理体制机制，增强其内生动力</w:t>
      </w:r>
    </w:p>
    <w:p w14:paraId="0D3E1E20">
      <w:pPr>
        <w:jc w:val="both"/>
        <w:textAlignment w:val="center"/>
        <w:rPr>
          <w:rFonts w:hint="eastAsia" w:ascii="Times New Roman" w:hAnsi="Times New Roman" w:eastAsia="Times New Roman" w:cs="Times New Roman"/>
          <w:color w:val="auto"/>
          <w:lang w:eastAsia="zh-CN"/>
        </w:rPr>
      </w:pPr>
      <w:r>
        <w:rPr>
          <w:rFonts w:hint="eastAsia" w:ascii="Times New Roman" w:hAnsi="Times New Roman" w:eastAsia="Times New Roman" w:cs="Times New Roman"/>
          <w:color w:val="auto"/>
          <w:lang w:eastAsia="zh-CN"/>
        </w:rPr>
        <w:t>④坚持“两个毫不动摇”，保障各种所有制经济平等使用生产要素、公平竞争</w:t>
      </w:r>
    </w:p>
    <w:p w14:paraId="3C8B2EED">
      <w:pPr>
        <w:jc w:val="both"/>
        <w:textAlignment w:val="center"/>
        <w:rPr>
          <w:rFonts w:hint="eastAsia" w:ascii="Times New Roman" w:hAnsi="Times New Roman" w:eastAsia="Times New Roman" w:cs="Times New Roman"/>
          <w:color w:val="auto"/>
          <w:lang w:val="en-US" w:eastAsia="zh-CN"/>
        </w:rPr>
      </w:pPr>
      <w:r>
        <w:rPr>
          <w:rFonts w:hint="eastAsia" w:ascii="Times New Roman" w:hAnsi="Times New Roman" w:eastAsia="Times New Roman" w:cs="Times New Roman"/>
          <w:color w:val="auto"/>
          <w:lang w:eastAsia="zh-CN"/>
        </w:rPr>
        <w:t>A. ①③</w:t>
      </w:r>
      <w:r>
        <w:rPr>
          <w:rFonts w:hint="eastAsia" w:ascii="Times New Roman" w:hAnsi="Times New Roman" w:eastAsia="Times New Roman" w:cs="Times New Roman"/>
          <w:color w:val="auto"/>
          <w:lang w:eastAsia="zh-CN"/>
        </w:rPr>
        <w:tab/>
      </w:r>
      <w:r>
        <w:rPr>
          <w:rFonts w:hint="eastAsia" w:ascii="Times New Roman" w:hAnsi="Times New Roman" w:eastAsia="Times New Roman" w:cs="Times New Roman"/>
          <w:color w:val="auto"/>
          <w:lang w:val="en-US" w:eastAsia="zh-CN"/>
        </w:rPr>
        <w:t xml:space="preserve">  </w:t>
      </w:r>
      <w:r>
        <w:rPr>
          <w:rFonts w:hint="eastAsia" w:ascii="Times New Roman" w:hAnsi="Times New Roman" w:eastAsia="Times New Roman" w:cs="Times New Roman"/>
          <w:color w:val="auto"/>
          <w:lang w:eastAsia="zh-CN"/>
        </w:rPr>
        <w:t>B. ①④</w:t>
      </w:r>
      <w:r>
        <w:rPr>
          <w:rFonts w:hint="eastAsia" w:ascii="Times New Roman" w:hAnsi="Times New Roman" w:eastAsia="Times New Roman" w:cs="Times New Roman"/>
          <w:color w:val="auto"/>
          <w:lang w:eastAsia="zh-CN"/>
        </w:rPr>
        <w:tab/>
      </w:r>
      <w:r>
        <w:rPr>
          <w:rFonts w:hint="eastAsia" w:ascii="Times New Roman" w:hAnsi="Times New Roman" w:eastAsia="Times New Roman" w:cs="Times New Roman"/>
          <w:color w:val="auto"/>
          <w:lang w:val="en-US" w:eastAsia="zh-CN"/>
        </w:rPr>
        <w:t xml:space="preserve">  </w:t>
      </w:r>
      <w:r>
        <w:rPr>
          <w:rFonts w:hint="eastAsia" w:ascii="Times New Roman" w:hAnsi="Times New Roman" w:eastAsia="Times New Roman" w:cs="Times New Roman"/>
          <w:color w:val="auto"/>
          <w:lang w:eastAsia="zh-CN"/>
        </w:rPr>
        <w:t>C. ②③</w:t>
      </w:r>
      <w:r>
        <w:rPr>
          <w:rFonts w:hint="eastAsia" w:ascii="Times New Roman" w:hAnsi="Times New Roman" w:eastAsia="Times New Roman" w:cs="Times New Roman"/>
          <w:color w:val="auto"/>
          <w:lang w:eastAsia="zh-CN"/>
        </w:rPr>
        <w:tab/>
      </w:r>
      <w:r>
        <w:rPr>
          <w:rFonts w:hint="eastAsia" w:ascii="Times New Roman" w:hAnsi="Times New Roman" w:eastAsia="Times New Roman" w:cs="Times New Roman"/>
          <w:color w:val="auto"/>
          <w:lang w:val="en-US" w:eastAsia="zh-CN"/>
        </w:rPr>
        <w:t xml:space="preserve">  </w:t>
      </w:r>
      <w:r>
        <w:rPr>
          <w:rFonts w:hint="eastAsia" w:ascii="Times New Roman" w:hAnsi="Times New Roman" w:eastAsia="Times New Roman" w:cs="Times New Roman"/>
          <w:color w:val="auto"/>
          <w:lang w:eastAsia="zh-CN"/>
        </w:rPr>
        <w:t>D. ②④</w:t>
      </w:r>
    </w:p>
    <w:p w14:paraId="560A63C8">
      <w:pPr>
        <w:jc w:val="left"/>
        <w:textAlignment w:val="center"/>
        <w:rPr>
          <w:rFonts w:hint="eastAsia"/>
          <w:color w:val="auto"/>
          <w:szCs w:val="21"/>
          <w:highlight w:val="none"/>
        </w:rPr>
      </w:pPr>
      <w:r>
        <w:rPr>
          <w:rFonts w:hint="eastAsia"/>
          <w:color w:val="auto"/>
          <w:szCs w:val="21"/>
          <w:highlight w:val="none"/>
          <w:lang w:val="en-US" w:eastAsia="zh-CN"/>
        </w:rPr>
        <w:t>2.</w:t>
      </w:r>
      <w:r>
        <w:rPr>
          <w:rFonts w:hint="eastAsia"/>
          <w:color w:val="auto"/>
          <w:szCs w:val="21"/>
          <w:highlight w:val="none"/>
        </w:rPr>
        <w:t>2024年，一汽集团、东风汽车、长安汽车三大央企年产能合计超800万辆，但自主品牌市场占有率不足15％，研发投入分散导致技术突破效率低下。三家车企海外销量达53.6万辆，海外网络重叠率却高达70％，存在资源浪费现象。2025年3月29日，国务院国资委宣布，将对一汽集团、东风汽车、长安汽车等整车央企启动战略性重组。整车央企战略性重组（   ）</w:t>
      </w:r>
    </w:p>
    <w:p w14:paraId="35D2ACA0">
      <w:pPr>
        <w:jc w:val="left"/>
        <w:textAlignment w:val="center"/>
        <w:rPr>
          <w:rFonts w:hint="eastAsia"/>
          <w:color w:val="auto"/>
          <w:szCs w:val="21"/>
          <w:highlight w:val="none"/>
        </w:rPr>
      </w:pPr>
      <w:r>
        <w:rPr>
          <w:rFonts w:hint="eastAsia"/>
          <w:color w:val="auto"/>
          <w:szCs w:val="21"/>
          <w:highlight w:val="none"/>
        </w:rPr>
        <w:t>①通过产业适度集中和调整，能够提高国有资产</w:t>
      </w:r>
      <w:r>
        <w:rPr>
          <w:rFonts w:hint="eastAsia"/>
          <w:color w:val="auto"/>
          <w:szCs w:val="21"/>
          <w:highlight w:val="none"/>
        </w:rPr>
        <w:drawing>
          <wp:inline distT="0" distB="0" distL="114300" distR="114300">
            <wp:extent cx="133350" cy="177800"/>
            <wp:effectExtent l="0" t="0" r="0" b="133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133350" cy="177800"/>
                    </a:xfrm>
                    <a:prstGeom prst="rect">
                      <a:avLst/>
                    </a:prstGeom>
                  </pic:spPr>
                </pic:pic>
              </a:graphicData>
            </a:graphic>
          </wp:inline>
        </w:drawing>
      </w:r>
      <w:r>
        <w:rPr>
          <w:rFonts w:hint="eastAsia"/>
          <w:color w:val="auto"/>
          <w:szCs w:val="21"/>
          <w:highlight w:val="none"/>
        </w:rPr>
        <w:t>整体质量</w:t>
      </w:r>
    </w:p>
    <w:p w14:paraId="16B7168D">
      <w:pPr>
        <w:jc w:val="left"/>
        <w:textAlignment w:val="center"/>
        <w:rPr>
          <w:rFonts w:hint="eastAsia"/>
          <w:color w:val="auto"/>
          <w:szCs w:val="21"/>
          <w:highlight w:val="none"/>
        </w:rPr>
      </w:pPr>
      <w:r>
        <w:rPr>
          <w:rFonts w:hint="eastAsia"/>
          <w:color w:val="auto"/>
          <w:szCs w:val="21"/>
          <w:highlight w:val="none"/>
        </w:rPr>
        <w:t>②可以加快央企的研发制造，构建自主可控的全产业链体系</w:t>
      </w:r>
    </w:p>
    <w:p w14:paraId="75696C2B">
      <w:pPr>
        <w:jc w:val="left"/>
        <w:textAlignment w:val="center"/>
        <w:rPr>
          <w:rFonts w:hint="eastAsia"/>
          <w:color w:val="auto"/>
          <w:szCs w:val="21"/>
          <w:highlight w:val="none"/>
        </w:rPr>
      </w:pPr>
      <w:r>
        <w:rPr>
          <w:rFonts w:hint="eastAsia"/>
          <w:color w:val="auto"/>
          <w:szCs w:val="21"/>
          <w:highlight w:val="none"/>
        </w:rPr>
        <w:t>③可以减少重复投资和同质化竞争，实现各类资本优势互补</w:t>
      </w:r>
    </w:p>
    <w:p w14:paraId="22D738B1">
      <w:pPr>
        <w:jc w:val="left"/>
        <w:textAlignment w:val="center"/>
        <w:rPr>
          <w:rFonts w:hint="eastAsia"/>
          <w:color w:val="auto"/>
          <w:szCs w:val="21"/>
          <w:highlight w:val="none"/>
        </w:rPr>
      </w:pPr>
      <w:r>
        <w:rPr>
          <w:rFonts w:hint="eastAsia"/>
          <w:color w:val="auto"/>
          <w:szCs w:val="21"/>
          <w:highlight w:val="none"/>
        </w:rPr>
        <w:t>④通过资源系统整合推动产业升级，助力汽车央企降本增效</w:t>
      </w:r>
    </w:p>
    <w:p w14:paraId="32B046F7">
      <w:pPr>
        <w:jc w:val="left"/>
        <w:textAlignment w:val="center"/>
        <w:rPr>
          <w:rFonts w:hint="eastAsia"/>
          <w:color w:val="auto"/>
          <w:szCs w:val="21"/>
          <w:highlight w:val="none"/>
        </w:rPr>
      </w:pPr>
      <w:r>
        <w:rPr>
          <w:rFonts w:hint="eastAsia"/>
          <w:color w:val="auto"/>
          <w:szCs w:val="21"/>
          <w:highlight w:val="none"/>
        </w:rPr>
        <w:t>A. ①③</w:t>
      </w:r>
      <w:r>
        <w:rPr>
          <w:rFonts w:hint="eastAsia"/>
          <w:color w:val="auto"/>
          <w:szCs w:val="21"/>
          <w:highlight w:val="none"/>
        </w:rPr>
        <w:tab/>
      </w:r>
      <w:r>
        <w:rPr>
          <w:rFonts w:hint="eastAsia" w:eastAsia="宋体"/>
          <w:color w:val="auto"/>
          <w:szCs w:val="21"/>
          <w:highlight w:val="none"/>
          <w:lang w:val="en-US" w:eastAsia="zh-CN"/>
        </w:rPr>
        <w:t xml:space="preserve"> </w:t>
      </w:r>
      <w:r>
        <w:rPr>
          <w:rFonts w:hint="eastAsia"/>
          <w:color w:val="auto"/>
          <w:szCs w:val="21"/>
          <w:highlight w:val="none"/>
        </w:rPr>
        <w:t>B. ①④</w:t>
      </w:r>
      <w:r>
        <w:rPr>
          <w:rFonts w:hint="eastAsia"/>
          <w:color w:val="auto"/>
          <w:szCs w:val="21"/>
          <w:highlight w:val="none"/>
        </w:rPr>
        <w:tab/>
      </w:r>
      <w:r>
        <w:rPr>
          <w:rFonts w:hint="eastAsia"/>
          <w:color w:val="auto"/>
          <w:szCs w:val="21"/>
          <w:highlight w:val="none"/>
        </w:rPr>
        <w:t>C. ②③</w:t>
      </w:r>
      <w:r>
        <w:rPr>
          <w:rFonts w:hint="eastAsia"/>
          <w:color w:val="auto"/>
          <w:szCs w:val="21"/>
          <w:highlight w:val="none"/>
        </w:rPr>
        <w:tab/>
      </w:r>
      <w:r>
        <w:rPr>
          <w:rFonts w:hint="eastAsia"/>
          <w:color w:val="auto"/>
          <w:szCs w:val="21"/>
          <w:highlight w:val="none"/>
        </w:rPr>
        <w:t>D. ②④</w:t>
      </w:r>
    </w:p>
    <w:p w14:paraId="78EE1141">
      <w:pPr>
        <w:jc w:val="left"/>
        <w:textAlignment w:val="center"/>
        <w:rPr>
          <w:rFonts w:hint="eastAsia"/>
          <w:color w:val="auto"/>
          <w:szCs w:val="21"/>
          <w:highlight w:val="none"/>
        </w:rPr>
      </w:pPr>
      <w:r>
        <w:rPr>
          <w:rFonts w:hint="eastAsia"/>
          <w:color w:val="auto"/>
          <w:szCs w:val="21"/>
          <w:highlight w:val="none"/>
          <w:lang w:val="en-US" w:eastAsia="zh-CN"/>
        </w:rPr>
        <w:t>3</w:t>
      </w:r>
      <w:r>
        <w:rPr>
          <w:rFonts w:hint="eastAsia"/>
          <w:color w:val="auto"/>
          <w:szCs w:val="21"/>
          <w:highlight w:val="none"/>
        </w:rPr>
        <w:t>．“寸麦不怕尺水，尺麦但怕寸水”是出自《天工开物》的农谚，是农民在长期的农业生产中得出的认识，如今各种各样的传感器深入农田，实时监测土壤，让农民对土壤的“健康状况”了如指掌，通过数据，给农业种植提供精确指导。对此，下列认识</w:t>
      </w:r>
      <w:r>
        <w:rPr>
          <w:rFonts w:hint="eastAsia"/>
          <w:color w:val="auto"/>
          <w:szCs w:val="21"/>
          <w:highlight w:val="none"/>
          <w:lang w:eastAsia="zh-CN"/>
        </w:rPr>
        <w:t>不</w:t>
      </w:r>
      <w:r>
        <w:rPr>
          <w:rFonts w:hint="eastAsia"/>
          <w:color w:val="auto"/>
          <w:szCs w:val="21"/>
          <w:highlight w:val="none"/>
        </w:rPr>
        <w:t>正确的是（  </w:t>
      </w:r>
      <w:r>
        <w:rPr>
          <w:rFonts w:hint="eastAsia" w:eastAsia="宋体"/>
          <w:color w:val="auto"/>
          <w:szCs w:val="21"/>
          <w:highlight w:val="none"/>
          <w:lang w:val="en-US" w:eastAsia="zh-CN"/>
        </w:rPr>
        <w:t xml:space="preserve"> </w:t>
      </w:r>
      <w:r>
        <w:rPr>
          <w:rFonts w:hint="eastAsia"/>
          <w:color w:val="auto"/>
          <w:szCs w:val="21"/>
          <w:highlight w:val="none"/>
        </w:rPr>
        <w:t> ）</w:t>
      </w:r>
    </w:p>
    <w:p w14:paraId="23485F2D">
      <w:pPr>
        <w:jc w:val="left"/>
        <w:textAlignment w:val="center"/>
        <w:rPr>
          <w:rFonts w:hint="eastAsia"/>
          <w:color w:val="auto"/>
          <w:szCs w:val="21"/>
          <w:highlight w:val="none"/>
        </w:rPr>
      </w:pPr>
      <w:r>
        <w:rPr>
          <w:rFonts w:hint="eastAsia"/>
          <w:color w:val="auto"/>
          <w:szCs w:val="21"/>
          <w:highlight w:val="none"/>
        </w:rPr>
        <w:t>①贯彻</w:t>
      </w:r>
      <w:r>
        <w:rPr>
          <w:rFonts w:hint="eastAsia"/>
          <w:color w:val="auto"/>
          <w:szCs w:val="21"/>
          <w:highlight w:val="none"/>
          <w:lang w:eastAsia="zh-CN"/>
        </w:rPr>
        <w:t>绿色</w:t>
      </w:r>
      <w:r>
        <w:rPr>
          <w:rFonts w:hint="eastAsia"/>
          <w:color w:val="auto"/>
          <w:szCs w:val="21"/>
          <w:highlight w:val="none"/>
        </w:rPr>
        <w:t>发展理念，培育乡村经济新业态、新模式</w:t>
      </w:r>
    </w:p>
    <w:p w14:paraId="43C923A3">
      <w:pPr>
        <w:jc w:val="left"/>
        <w:textAlignment w:val="center"/>
        <w:rPr>
          <w:rFonts w:hint="eastAsia"/>
          <w:color w:val="auto"/>
          <w:szCs w:val="21"/>
          <w:highlight w:val="none"/>
        </w:rPr>
      </w:pPr>
      <w:r>
        <w:rPr>
          <w:rFonts w:hint="eastAsia"/>
          <w:color w:val="auto"/>
          <w:szCs w:val="21"/>
          <w:highlight w:val="none"/>
        </w:rPr>
        <w:t>②推动农业科技创新成果转化，精准发展农村特色支柱产业</w:t>
      </w:r>
    </w:p>
    <w:p w14:paraId="3CEF0B60">
      <w:pPr>
        <w:jc w:val="left"/>
        <w:textAlignment w:val="center"/>
        <w:rPr>
          <w:rFonts w:hint="eastAsia"/>
          <w:color w:val="auto"/>
          <w:szCs w:val="21"/>
          <w:highlight w:val="none"/>
        </w:rPr>
      </w:pPr>
      <w:r>
        <w:rPr>
          <w:rFonts w:hint="eastAsia"/>
          <w:color w:val="auto"/>
          <w:szCs w:val="21"/>
          <w:highlight w:val="none"/>
        </w:rPr>
        <w:t>③通过数据要素与农业融合优化资源配置，推进乡村全面振兴</w:t>
      </w:r>
    </w:p>
    <w:p w14:paraId="23898E85">
      <w:pPr>
        <w:jc w:val="left"/>
        <w:textAlignment w:val="center"/>
        <w:rPr>
          <w:rFonts w:hint="eastAsia"/>
          <w:color w:val="auto"/>
          <w:szCs w:val="21"/>
          <w:highlight w:val="none"/>
        </w:rPr>
      </w:pPr>
      <w:r>
        <w:rPr>
          <w:rFonts w:hint="eastAsia"/>
          <w:color w:val="auto"/>
          <w:szCs w:val="21"/>
          <w:highlight w:val="none"/>
        </w:rPr>
        <w:t>④因地制宜发展农业新质生产力，推动技术等要素向农业集聚</w:t>
      </w:r>
    </w:p>
    <w:p w14:paraId="76CAEAAF">
      <w:pPr>
        <w:jc w:val="left"/>
        <w:textAlignment w:val="center"/>
        <w:rPr>
          <w:rFonts w:hint="eastAsia"/>
          <w:color w:val="auto"/>
          <w:szCs w:val="21"/>
          <w:highlight w:val="none"/>
        </w:rPr>
      </w:pPr>
      <w:r>
        <w:rPr>
          <w:rFonts w:hint="eastAsia"/>
          <w:color w:val="auto"/>
          <w:szCs w:val="21"/>
          <w:highlight w:val="none"/>
        </w:rPr>
        <w:t>A．①②</w:t>
      </w:r>
      <w:r>
        <w:rPr>
          <w:rFonts w:hint="eastAsia"/>
          <w:color w:val="auto"/>
          <w:szCs w:val="21"/>
          <w:highlight w:val="none"/>
        </w:rPr>
        <w:tab/>
      </w:r>
      <w:r>
        <w:rPr>
          <w:rFonts w:hint="eastAsia"/>
          <w:color w:val="auto"/>
          <w:szCs w:val="21"/>
          <w:highlight w:val="none"/>
        </w:rPr>
        <w:t>B．①④</w:t>
      </w:r>
      <w:r>
        <w:rPr>
          <w:rFonts w:hint="eastAsia"/>
          <w:color w:val="auto"/>
          <w:szCs w:val="21"/>
          <w:highlight w:val="none"/>
        </w:rPr>
        <w:tab/>
      </w:r>
      <w:r>
        <w:rPr>
          <w:rFonts w:hint="eastAsia"/>
          <w:color w:val="auto"/>
          <w:szCs w:val="21"/>
          <w:highlight w:val="none"/>
        </w:rPr>
        <w:t>C．②③</w:t>
      </w:r>
      <w:r>
        <w:rPr>
          <w:rFonts w:hint="eastAsia"/>
          <w:color w:val="auto"/>
          <w:szCs w:val="21"/>
          <w:highlight w:val="none"/>
        </w:rPr>
        <w:tab/>
      </w:r>
      <w:r>
        <w:rPr>
          <w:rFonts w:hint="eastAsia"/>
          <w:color w:val="auto"/>
          <w:szCs w:val="21"/>
          <w:highlight w:val="none"/>
        </w:rPr>
        <w:t>D．③④</w:t>
      </w:r>
    </w:p>
    <w:p w14:paraId="2D7DC75F">
      <w:pPr>
        <w:rPr>
          <w:rFonts w:hint="eastAsia"/>
          <w:color w:val="auto"/>
        </w:rPr>
      </w:pPr>
      <w:r>
        <w:rPr>
          <w:rFonts w:hint="eastAsia"/>
          <w:color w:val="auto"/>
        </w:rPr>
        <w:t>4.2025年要实施更加积极的财政政策和适度宽松的货币政策。对此，下列举措发挥作用的路径合理的是（   ）</w:t>
      </w:r>
    </w:p>
    <w:p w14:paraId="360CB49B">
      <w:pPr>
        <w:rPr>
          <w:rFonts w:hint="eastAsia"/>
          <w:color w:val="auto"/>
        </w:rPr>
      </w:pPr>
      <w:r>
        <w:rPr>
          <w:rFonts w:hint="eastAsia"/>
          <w:color w:val="auto"/>
        </w:rPr>
        <w:t>①下调存款准备金率→增加货币供应量→缓解企业融资难问题→促进实体经济发展</w:t>
      </w:r>
    </w:p>
    <w:p w14:paraId="72EA311F">
      <w:pPr>
        <w:rPr>
          <w:rFonts w:hint="eastAsia"/>
          <w:color w:val="auto"/>
        </w:rPr>
      </w:pPr>
      <w:r>
        <w:rPr>
          <w:rFonts w:hint="eastAsia"/>
          <w:color w:val="auto"/>
        </w:rPr>
        <w:t>②加大绿色信贷投放→为绿色产业提供资金支持→促进产业结构优化→推动创新发展</w:t>
      </w:r>
    </w:p>
    <w:p w14:paraId="23585BFF">
      <w:pPr>
        <w:rPr>
          <w:rFonts w:hint="eastAsia"/>
          <w:color w:val="auto"/>
        </w:rPr>
      </w:pPr>
      <w:r>
        <w:rPr>
          <w:rFonts w:hint="eastAsia"/>
          <w:color w:val="auto"/>
        </w:rPr>
        <w:t>③政府履行好经济职能→发挥货币政策支持作用→扩大社会总供给→提振市场主体信心</w:t>
      </w:r>
    </w:p>
    <w:p w14:paraId="4F5209D2">
      <w:pPr>
        <w:rPr>
          <w:rFonts w:hint="eastAsia"/>
          <w:color w:val="auto"/>
        </w:rPr>
      </w:pPr>
      <w:r>
        <w:rPr>
          <w:rFonts w:hint="eastAsia"/>
          <w:color w:val="auto"/>
        </w:rPr>
        <w:t>④实施家电以旧换新补贴政策→降低消费成本→刺激消费需求→满足人民美好生活需要</w:t>
      </w:r>
    </w:p>
    <w:p w14:paraId="7C132C8C">
      <w:pPr>
        <w:rPr>
          <w:rFonts w:hint="eastAsia"/>
          <w:color w:val="auto"/>
          <w:highlight w:val="none"/>
          <w:lang w:val="en-US" w:eastAsia="zh-CN"/>
        </w:rPr>
      </w:pPr>
      <w:r>
        <w:rPr>
          <w:rFonts w:hint="eastAsia"/>
          <w:color w:val="auto"/>
        </w:rPr>
        <w:t>A．①③     B．①④    C．②③    D．②④</w:t>
      </w:r>
    </w:p>
    <w:p w14:paraId="004919BF">
      <w:pPr>
        <w:jc w:val="left"/>
        <w:textAlignment w:val="center"/>
        <w:rPr>
          <w:rFonts w:hint="eastAsia" w:eastAsia="宋体"/>
          <w:color w:val="auto"/>
          <w:szCs w:val="21"/>
          <w:highlight w:val="none"/>
          <w:lang w:eastAsia="zh-CN"/>
        </w:rPr>
      </w:pPr>
      <w:r>
        <w:rPr>
          <w:rFonts w:hint="eastAsia"/>
          <w:color w:val="auto"/>
          <w:highlight w:val="none"/>
          <w:lang w:val="en-US" w:eastAsia="zh-CN"/>
        </w:rPr>
        <w:t>5</w:t>
      </w:r>
      <w:r>
        <w:rPr>
          <w:rFonts w:hint="eastAsia"/>
          <w:color w:val="auto"/>
          <w:highlight w:val="none"/>
        </w:rPr>
        <w:t>.民族要复兴，乡村必振兴。2024年山东省乡村振兴示范村秦村，</w:t>
      </w:r>
      <w:r>
        <w:rPr>
          <w:color w:val="auto"/>
          <w:szCs w:val="21"/>
          <w:highlight w:val="none"/>
        </w:rPr>
        <w:t>“秦”以铸魂</w:t>
      </w:r>
      <w:r>
        <w:rPr>
          <w:rFonts w:hint="eastAsia"/>
          <w:color w:val="auto"/>
          <w:szCs w:val="21"/>
          <w:highlight w:val="none"/>
        </w:rPr>
        <w:t>，该村党支部</w:t>
      </w:r>
      <w:r>
        <w:rPr>
          <w:color w:val="auto"/>
          <w:szCs w:val="21"/>
          <w:highlight w:val="none"/>
        </w:rPr>
        <w:t>躬耕党建责任田</w:t>
      </w:r>
      <w:r>
        <w:rPr>
          <w:rFonts w:hint="eastAsia"/>
          <w:color w:val="auto"/>
          <w:szCs w:val="21"/>
          <w:highlight w:val="none"/>
        </w:rPr>
        <w:t>，切实贯彻为民服务的宗旨；</w:t>
      </w:r>
      <w:r>
        <w:rPr>
          <w:color w:val="auto"/>
          <w:szCs w:val="21"/>
          <w:highlight w:val="none"/>
        </w:rPr>
        <w:t>“秦”奋兴业</w:t>
      </w:r>
      <w:r>
        <w:rPr>
          <w:rFonts w:hint="eastAsia"/>
          <w:color w:val="auto"/>
          <w:szCs w:val="21"/>
          <w:highlight w:val="none"/>
        </w:rPr>
        <w:t>，村办</w:t>
      </w:r>
      <w:r>
        <w:rPr>
          <w:color w:val="auto"/>
          <w:szCs w:val="21"/>
          <w:highlight w:val="none"/>
        </w:rPr>
        <w:t>合作社，整合闲置宅基地，建成的高标准食用菌厂等一批集体经济项目</w:t>
      </w:r>
      <w:r>
        <w:rPr>
          <w:rFonts w:hint="eastAsia"/>
          <w:color w:val="auto"/>
          <w:szCs w:val="21"/>
          <w:highlight w:val="none"/>
        </w:rPr>
        <w:t>，</w:t>
      </w:r>
      <w:r>
        <w:rPr>
          <w:color w:val="auto"/>
          <w:szCs w:val="21"/>
          <w:highlight w:val="none"/>
        </w:rPr>
        <w:t>2023年集体经济收入77万元</w:t>
      </w:r>
      <w:r>
        <w:rPr>
          <w:rFonts w:hint="eastAsia"/>
          <w:color w:val="auto"/>
          <w:szCs w:val="21"/>
          <w:highlight w:val="none"/>
        </w:rPr>
        <w:t>；</w:t>
      </w:r>
      <w:r>
        <w:rPr>
          <w:color w:val="auto"/>
          <w:szCs w:val="21"/>
          <w:highlight w:val="none"/>
        </w:rPr>
        <w:t>“秦”恳务实</w:t>
      </w:r>
      <w:r>
        <w:rPr>
          <w:rFonts w:hint="eastAsia"/>
          <w:color w:val="auto"/>
          <w:szCs w:val="21"/>
          <w:highlight w:val="none"/>
        </w:rPr>
        <w:t>，</w:t>
      </w:r>
      <w:r>
        <w:rPr>
          <w:color w:val="auto"/>
          <w:szCs w:val="21"/>
          <w:highlight w:val="none"/>
        </w:rPr>
        <w:t>积极推进“信用+”人居环境整治行动</w:t>
      </w:r>
      <w:r>
        <w:rPr>
          <w:rFonts w:hint="eastAsia"/>
          <w:color w:val="auto"/>
          <w:szCs w:val="21"/>
          <w:highlight w:val="none"/>
        </w:rPr>
        <w:t>，打造美丽乡村。</w:t>
      </w:r>
      <w:r>
        <w:rPr>
          <w:rFonts w:ascii="宋体" w:hAnsi="宋体" w:cs="宋体"/>
          <w:color w:val="auto"/>
          <w:highlight w:val="none"/>
        </w:rPr>
        <w:t>该</w:t>
      </w:r>
      <w:r>
        <w:rPr>
          <w:rFonts w:hint="eastAsia" w:ascii="宋体" w:hAnsi="宋体" w:cs="宋体"/>
          <w:color w:val="auto"/>
          <w:highlight w:val="none"/>
        </w:rPr>
        <w:t>示范村</w:t>
      </w:r>
      <w:r>
        <w:rPr>
          <w:rFonts w:ascii="宋体" w:hAnsi="宋体" w:cs="宋体"/>
          <w:color w:val="auto"/>
          <w:highlight w:val="none"/>
        </w:rPr>
        <w:t>的成功在于</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w:t>
      </w:r>
    </w:p>
    <w:p w14:paraId="09B87BCD">
      <w:pPr>
        <w:adjustRightInd w:val="0"/>
        <w:jc w:val="left"/>
        <w:rPr>
          <w:color w:val="auto"/>
          <w:highlight w:val="none"/>
        </w:rPr>
      </w:pPr>
      <w:r>
        <w:rPr>
          <w:rFonts w:hint="eastAsia" w:ascii="宋体" w:hAnsi="宋体"/>
          <w:color w:val="auto"/>
          <w:szCs w:val="21"/>
          <w:highlight w:val="none"/>
        </w:rPr>
        <w:t>①深化产权制度改革，增加农民转移性收入</w:t>
      </w:r>
      <w:r>
        <w:rPr>
          <w:rFonts w:hint="eastAsia" w:ascii="宋体" w:hAnsi="宋体" w:eastAsia="宋体"/>
          <w:color w:val="auto"/>
          <w:szCs w:val="21"/>
          <w:highlight w:val="none"/>
          <w:lang w:val="en-US" w:eastAsia="zh-CN"/>
        </w:rPr>
        <w:t xml:space="preserve">  </w:t>
      </w:r>
      <w:r>
        <w:rPr>
          <w:rFonts w:ascii="宋体" w:hAnsi="宋体" w:cs="宋体"/>
          <w:color w:val="auto"/>
          <w:highlight w:val="none"/>
        </w:rPr>
        <w:t>②发挥党建引领作用，践行共享发展</w:t>
      </w:r>
      <w:r>
        <w:rPr>
          <w:rFonts w:hint="eastAsia" w:ascii="宋体" w:hAnsi="宋体" w:cs="宋体"/>
          <w:color w:val="auto"/>
          <w:highlight w:val="none"/>
        </w:rPr>
        <w:t>新</w:t>
      </w:r>
      <w:r>
        <w:rPr>
          <w:rFonts w:ascii="宋体" w:hAnsi="宋体" w:cs="宋体"/>
          <w:color w:val="auto"/>
          <w:highlight w:val="none"/>
        </w:rPr>
        <w:t>理念</w:t>
      </w:r>
    </w:p>
    <w:p w14:paraId="16BE29A2">
      <w:pPr>
        <w:adjustRightInd w:val="0"/>
        <w:jc w:val="left"/>
        <w:rPr>
          <w:color w:val="auto"/>
          <w:highlight w:val="none"/>
        </w:rPr>
      </w:pPr>
      <w:r>
        <w:rPr>
          <w:rFonts w:hint="eastAsia" w:ascii="宋体" w:hAnsi="宋体"/>
          <w:color w:val="auto"/>
          <w:szCs w:val="21"/>
          <w:highlight w:val="none"/>
        </w:rPr>
        <w:t>③盘活农村闲置资源，激发集体经济新动能</w:t>
      </w:r>
      <w:r>
        <w:rPr>
          <w:rFonts w:hint="eastAsia" w:ascii="宋体" w:hAnsi="宋体" w:eastAsia="宋体"/>
          <w:color w:val="auto"/>
          <w:szCs w:val="21"/>
          <w:highlight w:val="none"/>
          <w:lang w:val="en-US" w:eastAsia="zh-CN"/>
        </w:rPr>
        <w:t xml:space="preserve">  </w:t>
      </w:r>
      <w:r>
        <w:rPr>
          <w:rFonts w:hint="eastAsia" w:ascii="宋体" w:hAnsi="宋体"/>
          <w:color w:val="auto"/>
          <w:szCs w:val="21"/>
          <w:highlight w:val="none"/>
        </w:rPr>
        <w:t>④</w:t>
      </w:r>
      <w:r>
        <w:rPr>
          <w:rFonts w:hint="eastAsia" w:ascii="宋体" w:hAnsi="宋体" w:cs="宋体"/>
          <w:color w:val="auto"/>
          <w:highlight w:val="none"/>
        </w:rPr>
        <w:t>培育</w:t>
      </w:r>
      <w:r>
        <w:rPr>
          <w:rFonts w:ascii="宋体" w:hAnsi="宋体" w:cs="宋体"/>
          <w:color w:val="auto"/>
          <w:highlight w:val="none"/>
        </w:rPr>
        <w:t>生态农业品牌</w:t>
      </w:r>
      <w:r>
        <w:rPr>
          <w:rFonts w:hint="eastAsia" w:ascii="宋体" w:hAnsi="宋体"/>
          <w:color w:val="auto"/>
          <w:szCs w:val="21"/>
          <w:highlight w:val="none"/>
        </w:rPr>
        <w:t>，</w:t>
      </w:r>
      <w:r>
        <w:rPr>
          <w:rFonts w:ascii="宋体" w:hAnsi="宋体" w:cs="宋体"/>
          <w:color w:val="auto"/>
          <w:highlight w:val="none"/>
        </w:rPr>
        <w:t>绘制美丽乡村新图景</w:t>
      </w:r>
    </w:p>
    <w:p w14:paraId="07162EC9">
      <w:pPr>
        <w:tabs>
          <w:tab w:val="left" w:pos="2436"/>
          <w:tab w:val="left" w:pos="4873"/>
          <w:tab w:val="left" w:pos="7309"/>
        </w:tabs>
        <w:jc w:val="left"/>
        <w:textAlignment w:val="center"/>
        <w:rPr>
          <w:rFonts w:hint="eastAsia" w:ascii="宋体" w:hAnsi="宋体" w:cs="宋体"/>
          <w:color w:val="auto"/>
          <w:highlight w:val="none"/>
        </w:rPr>
      </w:pPr>
      <w:r>
        <w:rPr>
          <w:color w:val="auto"/>
          <w:highlight w:val="none"/>
        </w:rPr>
        <w:t xml:space="preserve">A. </w:t>
      </w:r>
      <w:r>
        <w:rPr>
          <w:rFonts w:ascii="宋体" w:hAnsi="宋体" w:cs="宋体"/>
          <w:color w:val="auto"/>
          <w:highlight w:val="none"/>
        </w:rPr>
        <w:t>①②</w:t>
      </w:r>
      <w:r>
        <w:rPr>
          <w:rFonts w:hint="eastAsia" w:ascii="宋体" w:hAnsi="宋体" w:cs="宋体"/>
          <w:color w:val="auto"/>
          <w:highlight w:val="none"/>
        </w:rPr>
        <w:t xml:space="preserve">      </w:t>
      </w:r>
      <w:r>
        <w:rPr>
          <w:color w:val="auto"/>
          <w:highlight w:val="none"/>
        </w:rPr>
        <w:t xml:space="preserve">B. </w:t>
      </w:r>
      <w:r>
        <w:rPr>
          <w:rFonts w:ascii="宋体" w:hAnsi="宋体" w:cs="宋体"/>
          <w:color w:val="auto"/>
          <w:highlight w:val="none"/>
        </w:rPr>
        <w:t>①④</w:t>
      </w:r>
      <w:r>
        <w:rPr>
          <w:color w:val="auto"/>
          <w:highlight w:val="none"/>
        </w:rPr>
        <w:tab/>
      </w:r>
      <w:r>
        <w:rPr>
          <w:color w:val="auto"/>
          <w:highlight w:val="none"/>
        </w:rPr>
        <w:t xml:space="preserve">C. </w:t>
      </w:r>
      <w:r>
        <w:rPr>
          <w:rFonts w:ascii="宋体" w:hAnsi="宋体" w:cs="宋体"/>
          <w:color w:val="auto"/>
          <w:highlight w:val="none"/>
        </w:rPr>
        <w:t>②③</w:t>
      </w:r>
      <w:r>
        <w:rPr>
          <w:rFonts w:hint="eastAsia"/>
          <w:color w:val="auto"/>
          <w:highlight w:val="none"/>
        </w:rPr>
        <w:t xml:space="preserve">     </w:t>
      </w:r>
      <w:r>
        <w:rPr>
          <w:color w:val="auto"/>
          <w:highlight w:val="none"/>
        </w:rPr>
        <w:t xml:space="preserve">D. </w:t>
      </w:r>
      <w:r>
        <w:rPr>
          <w:rFonts w:ascii="宋体" w:hAnsi="宋体" w:cs="宋体"/>
          <w:color w:val="auto"/>
          <w:highlight w:val="none"/>
        </w:rPr>
        <w:t>③④</w:t>
      </w:r>
    </w:p>
    <w:p w14:paraId="378B7898">
      <w:pPr>
        <w:jc w:val="left"/>
        <w:textAlignment w:val="center"/>
        <w:rPr>
          <w:rFonts w:hint="eastAsia"/>
          <w:color w:val="auto"/>
          <w:szCs w:val="21"/>
          <w:highlight w:val="none"/>
        </w:rPr>
      </w:pPr>
      <w:r>
        <w:rPr>
          <w:rFonts w:hint="eastAsia"/>
          <w:color w:val="auto"/>
          <w:szCs w:val="21"/>
          <w:highlight w:val="none"/>
          <w:lang w:val="en-US" w:eastAsia="zh-CN"/>
        </w:rPr>
        <w:t>6</w:t>
      </w:r>
      <w:r>
        <w:rPr>
          <w:rFonts w:hint="eastAsia"/>
          <w:color w:val="auto"/>
          <w:szCs w:val="21"/>
          <w:highlight w:val="none"/>
        </w:rPr>
        <w:t>．国家统计局于2025年1月17日发布2024年国民经济运行主要指标。这份中国经济答卷传递着我国高质量发展的信心与底气，见证中国发展迈上新台阶。透过其中部分数据（下图）可以发现我国（   ）</w:t>
      </w:r>
    </w:p>
    <w:p w14:paraId="2069C8CA">
      <w:pPr>
        <w:jc w:val="left"/>
        <w:textAlignment w:val="center"/>
        <w:rPr>
          <w:rFonts w:hint="eastAsia"/>
          <w:color w:val="auto"/>
          <w:szCs w:val="21"/>
          <w:highlight w:val="none"/>
        </w:rPr>
      </w:pPr>
      <w:r>
        <w:rPr>
          <w:rFonts w:hint="eastAsia"/>
          <w:color w:val="auto"/>
          <w:szCs w:val="21"/>
          <w:highlight w:val="none"/>
        </w:rPr>
        <w:drawing>
          <wp:inline distT="0" distB="0" distL="114300" distR="114300">
            <wp:extent cx="5276215" cy="1442720"/>
            <wp:effectExtent l="0" t="0" r="635" b="5080"/>
            <wp:docPr id="2" name="图片 2" descr="@@@836a634f-80ba-43c2-a6c1-b95ebe4e5d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36a634f-80ba-43c2-a6c1-b95ebe4e5d64"/>
                    <pic:cNvPicPr>
                      <a:picLocks noChangeAspect="1"/>
                    </pic:cNvPicPr>
                  </pic:nvPicPr>
                  <pic:blipFill>
                    <a:blip r:embed="rId11"/>
                    <a:stretch>
                      <a:fillRect/>
                    </a:stretch>
                  </pic:blipFill>
                  <pic:spPr>
                    <a:xfrm>
                      <a:off x="0" y="0"/>
                      <a:ext cx="5276800" cy="1442720"/>
                    </a:xfrm>
                    <a:prstGeom prst="rect">
                      <a:avLst/>
                    </a:prstGeom>
                  </pic:spPr>
                </pic:pic>
              </a:graphicData>
            </a:graphic>
          </wp:inline>
        </w:drawing>
      </w:r>
    </w:p>
    <w:p w14:paraId="02DE0F4C">
      <w:pPr>
        <w:jc w:val="left"/>
        <w:textAlignment w:val="center"/>
        <w:rPr>
          <w:rFonts w:hint="eastAsia"/>
          <w:color w:val="auto"/>
          <w:szCs w:val="21"/>
          <w:highlight w:val="none"/>
        </w:rPr>
      </w:pPr>
      <w:r>
        <w:rPr>
          <w:rFonts w:hint="eastAsia"/>
          <w:color w:val="auto"/>
          <w:szCs w:val="21"/>
          <w:highlight w:val="none"/>
        </w:rPr>
        <w:t>①能源供应稳定增加，为国家能源安全提供支撑和保障</w:t>
      </w:r>
    </w:p>
    <w:p w14:paraId="0DB0FEC2">
      <w:pPr>
        <w:jc w:val="left"/>
        <w:textAlignment w:val="center"/>
        <w:rPr>
          <w:rFonts w:hint="eastAsia"/>
          <w:color w:val="auto"/>
          <w:szCs w:val="21"/>
          <w:highlight w:val="none"/>
        </w:rPr>
      </w:pPr>
      <w:r>
        <w:rPr>
          <w:rFonts w:hint="eastAsia"/>
          <w:color w:val="auto"/>
          <w:szCs w:val="21"/>
          <w:highlight w:val="none"/>
        </w:rPr>
        <w:t>②工业生产稳步加快，工业经济总体保持回升向好态势</w:t>
      </w:r>
    </w:p>
    <w:p w14:paraId="4093BAAA">
      <w:pPr>
        <w:jc w:val="left"/>
        <w:textAlignment w:val="center"/>
        <w:rPr>
          <w:rFonts w:hint="eastAsia"/>
          <w:color w:val="auto"/>
          <w:szCs w:val="21"/>
          <w:highlight w:val="none"/>
        </w:rPr>
      </w:pPr>
      <w:r>
        <w:rPr>
          <w:rFonts w:hint="eastAsia"/>
          <w:color w:val="auto"/>
          <w:szCs w:val="21"/>
          <w:highlight w:val="none"/>
        </w:rPr>
        <w:t>③能源消费结构持续优化，绿色低碳发展水平显著提升</w:t>
      </w:r>
    </w:p>
    <w:p w14:paraId="0C22ED2C">
      <w:pPr>
        <w:jc w:val="left"/>
        <w:textAlignment w:val="center"/>
        <w:rPr>
          <w:rFonts w:hint="eastAsia"/>
          <w:color w:val="auto"/>
          <w:szCs w:val="21"/>
          <w:highlight w:val="none"/>
        </w:rPr>
      </w:pPr>
      <w:r>
        <w:rPr>
          <w:rFonts w:hint="eastAsia"/>
          <w:color w:val="auto"/>
          <w:szCs w:val="21"/>
          <w:highlight w:val="none"/>
        </w:rPr>
        <w:t>④单位增加值能耗下降，能源资源的利用效率稳步提升</w:t>
      </w:r>
    </w:p>
    <w:p w14:paraId="26CC5924">
      <w:pPr>
        <w:jc w:val="left"/>
        <w:textAlignment w:val="center"/>
        <w:rPr>
          <w:rFonts w:hint="eastAsia"/>
          <w:color w:val="auto"/>
          <w:szCs w:val="21"/>
          <w:highlight w:val="none"/>
        </w:rPr>
      </w:pPr>
      <w:r>
        <w:rPr>
          <w:rFonts w:hint="eastAsia"/>
          <w:color w:val="auto"/>
          <w:szCs w:val="21"/>
          <w:highlight w:val="none"/>
        </w:rPr>
        <w:t>A．①③</w:t>
      </w:r>
      <w:r>
        <w:rPr>
          <w:rFonts w:hint="eastAsia"/>
          <w:color w:val="auto"/>
          <w:szCs w:val="21"/>
          <w:highlight w:val="none"/>
        </w:rPr>
        <w:tab/>
      </w:r>
      <w:r>
        <w:rPr>
          <w:rFonts w:hint="eastAsia"/>
          <w:color w:val="auto"/>
          <w:szCs w:val="21"/>
          <w:highlight w:val="none"/>
        </w:rPr>
        <w:t>B．①④</w:t>
      </w:r>
      <w:r>
        <w:rPr>
          <w:rFonts w:hint="eastAsia"/>
          <w:color w:val="auto"/>
          <w:szCs w:val="21"/>
          <w:highlight w:val="none"/>
        </w:rPr>
        <w:tab/>
      </w:r>
      <w:r>
        <w:rPr>
          <w:rFonts w:hint="eastAsia"/>
          <w:color w:val="auto"/>
          <w:szCs w:val="21"/>
          <w:highlight w:val="none"/>
        </w:rPr>
        <w:t>C．②③</w:t>
      </w:r>
      <w:r>
        <w:rPr>
          <w:rFonts w:hint="eastAsia"/>
          <w:color w:val="auto"/>
          <w:szCs w:val="21"/>
          <w:highlight w:val="none"/>
        </w:rPr>
        <w:tab/>
      </w:r>
      <w:r>
        <w:rPr>
          <w:rFonts w:hint="eastAsia"/>
          <w:color w:val="auto"/>
          <w:szCs w:val="21"/>
          <w:highlight w:val="none"/>
        </w:rPr>
        <w:t>D．②④</w:t>
      </w:r>
    </w:p>
    <w:p w14:paraId="3C7293B5">
      <w:pPr>
        <w:jc w:val="left"/>
        <w:textAlignment w:val="center"/>
        <w:rPr>
          <w:rFonts w:hint="eastAsia" w:ascii="Times New Roman" w:hAnsi="Times New Roman" w:eastAsia="Times New Roman" w:cs="Times New Roman"/>
          <w:color w:val="auto"/>
          <w:szCs w:val="21"/>
          <w:highlight w:val="none"/>
          <w:lang w:eastAsia="zh-CN"/>
        </w:rPr>
      </w:pPr>
      <w:r>
        <w:rPr>
          <w:rFonts w:hint="eastAsia" w:ascii="Times New Roman" w:hAnsi="Times New Roman" w:eastAsia="Times New Roman" w:cs="Times New Roman"/>
          <w:color w:val="auto"/>
          <w:szCs w:val="21"/>
          <w:highlight w:val="none"/>
          <w:lang w:val="en-US" w:eastAsia="zh-CN"/>
        </w:rPr>
        <w:t>7</w:t>
      </w:r>
      <w:r>
        <w:rPr>
          <w:rFonts w:hint="eastAsia" w:ascii="Times New Roman" w:hAnsi="Times New Roman" w:eastAsia="Times New Roman" w:cs="Times New Roman"/>
          <w:color w:val="auto"/>
          <w:szCs w:val="21"/>
          <w:highlight w:val="none"/>
          <w:lang w:eastAsia="zh-CN"/>
        </w:rPr>
        <w:t>．某地探索发展新模式，村民先将承包的耕地、林地等全部“入股”合作社，合作社再将土地转让给开发公司。按照合同约定，开发公司可利用流转的土地开展有机种植、养殖等项目，但须向合作社及社员支付一定费用。该模式（  </w:t>
      </w:r>
      <w:r>
        <w:rPr>
          <w:rFonts w:hint="eastAsia" w:cs="Times New Roman"/>
          <w:color w:val="auto"/>
          <w:szCs w:val="21"/>
          <w:highlight w:val="none"/>
          <w:lang w:val="en-US" w:eastAsia="zh-CN"/>
        </w:rPr>
        <w:t xml:space="preserve"> </w:t>
      </w:r>
      <w:r>
        <w:rPr>
          <w:rFonts w:hint="eastAsia" w:ascii="Times New Roman" w:hAnsi="Times New Roman" w:eastAsia="Times New Roman" w:cs="Times New Roman"/>
          <w:color w:val="auto"/>
          <w:szCs w:val="21"/>
          <w:highlight w:val="none"/>
          <w:lang w:eastAsia="zh-CN"/>
        </w:rPr>
        <w:t> ）</w:t>
      </w:r>
    </w:p>
    <w:p w14:paraId="574FA289">
      <w:pPr>
        <w:jc w:val="left"/>
        <w:textAlignment w:val="center"/>
        <w:rPr>
          <w:rFonts w:hint="eastAsia" w:ascii="Times New Roman" w:hAnsi="Times New Roman" w:eastAsia="Times New Roman" w:cs="Times New Roman"/>
          <w:color w:val="auto"/>
          <w:szCs w:val="21"/>
          <w:highlight w:val="none"/>
          <w:lang w:eastAsia="zh-CN"/>
        </w:rPr>
      </w:pPr>
      <w:r>
        <w:rPr>
          <w:rFonts w:hint="eastAsia" w:ascii="Times New Roman" w:hAnsi="Times New Roman" w:eastAsia="Times New Roman" w:cs="Times New Roman"/>
          <w:color w:val="auto"/>
          <w:szCs w:val="21"/>
          <w:highlight w:val="none"/>
          <w:lang w:eastAsia="zh-CN"/>
        </w:rPr>
        <w:t>①流转了土地承包权，激活农村发展新动能</w:t>
      </w:r>
      <w:r>
        <w:rPr>
          <w:rFonts w:hint="eastAsia" w:cs="Times New Roman"/>
          <w:color w:val="auto"/>
          <w:szCs w:val="21"/>
          <w:highlight w:val="none"/>
          <w:lang w:val="en-US" w:eastAsia="zh-CN"/>
        </w:rPr>
        <w:t xml:space="preserve">  </w:t>
      </w:r>
      <w:r>
        <w:rPr>
          <w:rFonts w:hint="eastAsia" w:ascii="Times New Roman" w:hAnsi="Times New Roman" w:eastAsia="Times New Roman" w:cs="Times New Roman"/>
          <w:color w:val="auto"/>
          <w:szCs w:val="21"/>
          <w:highlight w:val="none"/>
          <w:lang w:eastAsia="zh-CN"/>
        </w:rPr>
        <w:t>②促进了村民变“股东”，提高其财产性收入</w:t>
      </w:r>
    </w:p>
    <w:p w14:paraId="25C47EF4">
      <w:pPr>
        <w:jc w:val="left"/>
        <w:textAlignment w:val="center"/>
        <w:rPr>
          <w:rFonts w:hint="eastAsia" w:ascii="Times New Roman" w:hAnsi="Times New Roman" w:eastAsia="Times New Roman" w:cs="Times New Roman"/>
          <w:color w:val="auto"/>
          <w:szCs w:val="21"/>
          <w:highlight w:val="none"/>
          <w:lang w:eastAsia="zh-CN"/>
        </w:rPr>
      </w:pPr>
      <w:r>
        <w:rPr>
          <w:rFonts w:hint="eastAsia" w:ascii="Times New Roman" w:hAnsi="Times New Roman" w:eastAsia="Times New Roman" w:cs="Times New Roman"/>
          <w:color w:val="auto"/>
          <w:szCs w:val="21"/>
          <w:highlight w:val="none"/>
          <w:lang w:eastAsia="zh-CN"/>
        </w:rPr>
        <w:t>③盘活了农村土地资源，发挥土地交换价值</w:t>
      </w:r>
      <w:r>
        <w:rPr>
          <w:rFonts w:hint="eastAsia" w:cs="Times New Roman"/>
          <w:color w:val="auto"/>
          <w:szCs w:val="21"/>
          <w:highlight w:val="none"/>
          <w:lang w:val="en-US" w:eastAsia="zh-CN"/>
        </w:rPr>
        <w:t xml:space="preserve">  </w:t>
      </w:r>
      <w:r>
        <w:rPr>
          <w:rFonts w:hint="eastAsia" w:ascii="Times New Roman" w:hAnsi="Times New Roman" w:eastAsia="Times New Roman" w:cs="Times New Roman"/>
          <w:color w:val="auto"/>
          <w:szCs w:val="21"/>
          <w:highlight w:val="none"/>
          <w:lang w:eastAsia="zh-CN"/>
        </w:rPr>
        <w:t>④完善了农村基本经营制度，促进共同富裕</w:t>
      </w:r>
    </w:p>
    <w:p w14:paraId="07F9C38D">
      <w:pPr>
        <w:jc w:val="left"/>
        <w:textAlignment w:val="center"/>
        <w:rPr>
          <w:rFonts w:hint="eastAsia" w:ascii="Times New Roman" w:hAnsi="Times New Roman" w:eastAsia="Times New Roman" w:cs="Times New Roman"/>
          <w:color w:val="auto"/>
          <w:szCs w:val="21"/>
          <w:highlight w:val="none"/>
          <w:lang w:val="en-US" w:eastAsia="zh-CN"/>
        </w:rPr>
      </w:pPr>
      <w:r>
        <w:rPr>
          <w:rFonts w:hint="eastAsia" w:ascii="Times New Roman" w:hAnsi="Times New Roman" w:eastAsia="Times New Roman" w:cs="Times New Roman"/>
          <w:color w:val="auto"/>
          <w:szCs w:val="21"/>
          <w:highlight w:val="none"/>
          <w:lang w:eastAsia="zh-CN"/>
        </w:rPr>
        <w:t>A．①②</w:t>
      </w:r>
      <w:r>
        <w:rPr>
          <w:rFonts w:hint="eastAsia" w:ascii="Times New Roman" w:hAnsi="Times New Roman" w:eastAsia="Times New Roman" w:cs="Times New Roman"/>
          <w:color w:val="auto"/>
          <w:szCs w:val="21"/>
          <w:highlight w:val="none"/>
          <w:lang w:eastAsia="zh-CN"/>
        </w:rPr>
        <w:tab/>
      </w:r>
      <w:r>
        <w:rPr>
          <w:rFonts w:hint="eastAsia" w:ascii="Times New Roman" w:hAnsi="Times New Roman" w:eastAsia="Times New Roman" w:cs="Times New Roman"/>
          <w:color w:val="auto"/>
          <w:szCs w:val="21"/>
          <w:highlight w:val="none"/>
          <w:lang w:val="en-US" w:eastAsia="zh-CN"/>
        </w:rPr>
        <w:t xml:space="preserve">  </w:t>
      </w:r>
      <w:r>
        <w:rPr>
          <w:rFonts w:hint="eastAsia" w:ascii="Times New Roman" w:hAnsi="Times New Roman" w:eastAsia="Times New Roman" w:cs="Times New Roman"/>
          <w:color w:val="auto"/>
          <w:szCs w:val="21"/>
          <w:highlight w:val="none"/>
          <w:lang w:eastAsia="zh-CN"/>
        </w:rPr>
        <w:t>B．①③</w:t>
      </w:r>
      <w:r>
        <w:rPr>
          <w:rFonts w:hint="eastAsia" w:ascii="Times New Roman" w:hAnsi="Times New Roman" w:eastAsia="Times New Roman" w:cs="Times New Roman"/>
          <w:color w:val="auto"/>
          <w:szCs w:val="21"/>
          <w:highlight w:val="none"/>
          <w:lang w:val="en-US" w:eastAsia="zh-CN"/>
        </w:rPr>
        <w:t xml:space="preserve">  </w:t>
      </w:r>
      <w:r>
        <w:rPr>
          <w:rFonts w:hint="eastAsia" w:ascii="Times New Roman" w:hAnsi="Times New Roman" w:eastAsia="Times New Roman" w:cs="Times New Roman"/>
          <w:color w:val="auto"/>
          <w:szCs w:val="21"/>
          <w:highlight w:val="none"/>
          <w:lang w:eastAsia="zh-CN"/>
        </w:rPr>
        <w:tab/>
      </w:r>
      <w:r>
        <w:rPr>
          <w:rFonts w:hint="eastAsia" w:ascii="Times New Roman" w:hAnsi="Times New Roman" w:eastAsia="Times New Roman" w:cs="Times New Roman"/>
          <w:color w:val="auto"/>
          <w:szCs w:val="21"/>
          <w:highlight w:val="none"/>
          <w:lang w:eastAsia="zh-CN"/>
        </w:rPr>
        <w:t>C．②④</w:t>
      </w:r>
      <w:r>
        <w:rPr>
          <w:rFonts w:hint="eastAsia" w:ascii="Times New Roman" w:hAnsi="Times New Roman" w:eastAsia="Times New Roman" w:cs="Times New Roman"/>
          <w:color w:val="auto"/>
          <w:szCs w:val="21"/>
          <w:highlight w:val="none"/>
          <w:lang w:eastAsia="zh-CN"/>
        </w:rPr>
        <w:tab/>
      </w:r>
      <w:r>
        <w:rPr>
          <w:rFonts w:hint="eastAsia" w:ascii="Times New Roman" w:hAnsi="Times New Roman" w:eastAsia="Times New Roman" w:cs="Times New Roman"/>
          <w:color w:val="auto"/>
          <w:szCs w:val="21"/>
          <w:highlight w:val="none"/>
          <w:lang w:val="en-US" w:eastAsia="zh-CN"/>
        </w:rPr>
        <w:t xml:space="preserve">  </w:t>
      </w:r>
      <w:r>
        <w:rPr>
          <w:rFonts w:hint="eastAsia" w:ascii="Times New Roman" w:hAnsi="Times New Roman" w:eastAsia="Times New Roman" w:cs="Times New Roman"/>
          <w:color w:val="auto"/>
          <w:szCs w:val="21"/>
          <w:highlight w:val="none"/>
          <w:lang w:eastAsia="zh-CN"/>
        </w:rPr>
        <w:t>D．③④</w:t>
      </w:r>
    </w:p>
    <w:p w14:paraId="60D5F87F">
      <w:pPr>
        <w:jc w:val="left"/>
        <w:textAlignment w:val="center"/>
        <w:rPr>
          <w:rFonts w:hint="eastAsia" w:ascii="Times New Roman" w:hAnsi="Times New Roman" w:eastAsia="Times New Roman" w:cs="Times New Roman"/>
          <w:color w:val="auto"/>
          <w:szCs w:val="21"/>
          <w:highlight w:val="none"/>
          <w:lang w:eastAsia="zh-CN"/>
        </w:rPr>
      </w:pPr>
      <w:r>
        <w:rPr>
          <w:rFonts w:hint="eastAsia" w:ascii="Times New Roman" w:hAnsi="Times New Roman" w:eastAsia="Times New Roman" w:cs="Times New Roman"/>
          <w:color w:val="auto"/>
          <w:szCs w:val="21"/>
          <w:highlight w:val="none"/>
          <w:lang w:val="en-US" w:eastAsia="zh-CN"/>
        </w:rPr>
        <w:t>8</w:t>
      </w:r>
      <w:r>
        <w:rPr>
          <w:rFonts w:hint="eastAsia" w:ascii="Times New Roman" w:hAnsi="Times New Roman" w:eastAsia="Times New Roman" w:cs="Times New Roman"/>
          <w:color w:val="auto"/>
          <w:szCs w:val="21"/>
          <w:highlight w:val="none"/>
          <w:lang w:eastAsia="zh-CN"/>
        </w:rPr>
        <w:t>．算力是数字经济发展的重要支撑。山东在算力布局方面采取了一系列具体措施。</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400"/>
      </w:tblGrid>
      <w:tr w14:paraId="7E59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0080320">
            <w:pPr>
              <w:jc w:val="left"/>
              <w:textAlignment w:val="center"/>
              <w:rPr>
                <w:rFonts w:hint="eastAsia" w:ascii="Times New Roman" w:hAnsi="Times New Roman" w:eastAsia="Times New Roman" w:cs="Times New Roman"/>
                <w:color w:val="auto"/>
                <w:szCs w:val="21"/>
                <w:highlight w:val="none"/>
                <w:lang w:eastAsia="zh-CN"/>
              </w:rPr>
            </w:pPr>
            <w:r>
              <w:rPr>
                <w:rFonts w:hint="eastAsia" w:ascii="Times New Roman" w:hAnsi="Times New Roman" w:eastAsia="Times New Roman" w:cs="Times New Roman"/>
                <w:color w:val="auto"/>
                <w:szCs w:val="21"/>
                <w:highlight w:val="none"/>
                <w:lang w:eastAsia="zh-CN"/>
              </w:rPr>
              <w:t>◆实施“算力券”“模型券”等奖补政策，激活市场主体热情</w:t>
            </w:r>
          </w:p>
          <w:p w14:paraId="3EA251AA">
            <w:pPr>
              <w:jc w:val="left"/>
              <w:textAlignment w:val="center"/>
              <w:rPr>
                <w:rFonts w:hint="eastAsia" w:ascii="Times New Roman" w:hAnsi="Times New Roman" w:eastAsia="Times New Roman" w:cs="Times New Roman"/>
                <w:color w:val="auto"/>
                <w:szCs w:val="21"/>
                <w:highlight w:val="none"/>
                <w:lang w:eastAsia="zh-CN"/>
              </w:rPr>
            </w:pPr>
            <w:r>
              <w:rPr>
                <w:rFonts w:hint="eastAsia" w:ascii="Times New Roman" w:hAnsi="Times New Roman" w:eastAsia="Times New Roman" w:cs="Times New Roman"/>
                <w:color w:val="auto"/>
                <w:szCs w:val="21"/>
                <w:highlight w:val="none"/>
                <w:lang w:eastAsia="zh-CN"/>
              </w:rPr>
              <w:t>◆在算力部署上强调多元异构，满足各行各业的需求</w:t>
            </w:r>
          </w:p>
          <w:p w14:paraId="6D9E13BA">
            <w:pPr>
              <w:jc w:val="left"/>
              <w:textAlignment w:val="center"/>
              <w:rPr>
                <w:rFonts w:hint="eastAsia" w:ascii="Times New Roman" w:hAnsi="Times New Roman" w:eastAsia="Times New Roman" w:cs="Times New Roman"/>
                <w:color w:val="auto"/>
                <w:szCs w:val="21"/>
                <w:highlight w:val="none"/>
                <w:lang w:eastAsia="zh-CN"/>
              </w:rPr>
            </w:pPr>
            <w:r>
              <w:rPr>
                <w:rFonts w:hint="eastAsia" w:ascii="Times New Roman" w:hAnsi="Times New Roman" w:eastAsia="Times New Roman" w:cs="Times New Roman"/>
                <w:color w:val="auto"/>
                <w:szCs w:val="21"/>
                <w:highlight w:val="none"/>
                <w:lang w:eastAsia="zh-CN"/>
              </w:rPr>
              <w:t>◆山东移动联动青岛智能家电、科研院所等行业主体，建设运营异构算力集群</w:t>
            </w:r>
          </w:p>
        </w:tc>
      </w:tr>
    </w:tbl>
    <w:p w14:paraId="071EF280">
      <w:pPr>
        <w:jc w:val="left"/>
        <w:textAlignment w:val="center"/>
        <w:rPr>
          <w:rFonts w:hint="eastAsia" w:ascii="Times New Roman" w:hAnsi="Times New Roman" w:eastAsia="Times New Roman" w:cs="Times New Roman"/>
          <w:color w:val="auto"/>
          <w:szCs w:val="21"/>
          <w:highlight w:val="none"/>
          <w:lang w:eastAsia="zh-CN"/>
        </w:rPr>
      </w:pPr>
      <w:r>
        <w:rPr>
          <w:rFonts w:hint="eastAsia" w:ascii="Times New Roman" w:hAnsi="Times New Roman" w:eastAsia="Times New Roman" w:cs="Times New Roman"/>
          <w:color w:val="auto"/>
          <w:szCs w:val="21"/>
          <w:highlight w:val="none"/>
          <w:lang w:eastAsia="zh-CN"/>
        </w:rPr>
        <w:t>由此可以推断（ </w:t>
      </w:r>
      <w:r>
        <w:rPr>
          <w:rFonts w:hint="eastAsia" w:cs="Times New Roman"/>
          <w:color w:val="auto"/>
          <w:szCs w:val="21"/>
          <w:highlight w:val="none"/>
          <w:lang w:val="en-US" w:eastAsia="zh-CN"/>
        </w:rPr>
        <w:t xml:space="preserve">  </w:t>
      </w:r>
      <w:r>
        <w:rPr>
          <w:rFonts w:hint="eastAsia" w:ascii="Times New Roman" w:hAnsi="Times New Roman" w:eastAsia="Times New Roman" w:cs="Times New Roman"/>
          <w:color w:val="auto"/>
          <w:szCs w:val="21"/>
          <w:highlight w:val="none"/>
          <w:lang w:eastAsia="zh-CN"/>
        </w:rPr>
        <w:t>  ）</w:t>
      </w:r>
    </w:p>
    <w:p w14:paraId="373C22E1">
      <w:pPr>
        <w:jc w:val="left"/>
        <w:textAlignment w:val="center"/>
        <w:rPr>
          <w:rFonts w:hint="eastAsia" w:ascii="Times New Roman" w:hAnsi="Times New Roman" w:eastAsia="Times New Roman" w:cs="Times New Roman"/>
          <w:color w:val="auto"/>
          <w:szCs w:val="21"/>
          <w:highlight w:val="none"/>
          <w:lang w:eastAsia="zh-CN"/>
        </w:rPr>
      </w:pPr>
      <w:r>
        <w:rPr>
          <w:rFonts w:hint="eastAsia" w:ascii="Times New Roman" w:hAnsi="Times New Roman" w:eastAsia="Times New Roman" w:cs="Times New Roman"/>
          <w:color w:val="auto"/>
          <w:szCs w:val="21"/>
          <w:highlight w:val="none"/>
          <w:lang w:eastAsia="zh-CN"/>
        </w:rPr>
        <w:t>①发展算力的企业是发展新质生产力的核心要素</w:t>
      </w:r>
    </w:p>
    <w:p w14:paraId="743B434D">
      <w:pPr>
        <w:jc w:val="left"/>
        <w:textAlignment w:val="center"/>
        <w:rPr>
          <w:rFonts w:hint="eastAsia" w:ascii="Times New Roman" w:hAnsi="Times New Roman" w:eastAsia="Times New Roman" w:cs="Times New Roman"/>
          <w:color w:val="auto"/>
          <w:szCs w:val="21"/>
          <w:highlight w:val="none"/>
          <w:lang w:eastAsia="zh-CN"/>
        </w:rPr>
      </w:pPr>
      <w:r>
        <w:rPr>
          <w:rFonts w:hint="eastAsia" w:ascii="Times New Roman" w:hAnsi="Times New Roman" w:eastAsia="Times New Roman" w:cs="Times New Roman"/>
          <w:color w:val="auto"/>
          <w:szCs w:val="21"/>
          <w:highlight w:val="none"/>
          <w:lang w:eastAsia="zh-CN"/>
        </w:rPr>
        <w:t>②深入实施“东数西算”工程，实现资源优化配置</w:t>
      </w:r>
    </w:p>
    <w:p w14:paraId="25B93AD9">
      <w:pPr>
        <w:jc w:val="left"/>
        <w:textAlignment w:val="center"/>
        <w:rPr>
          <w:rFonts w:hint="eastAsia" w:ascii="Times New Roman" w:hAnsi="Times New Roman" w:eastAsia="Times New Roman" w:cs="Times New Roman"/>
          <w:color w:val="auto"/>
          <w:szCs w:val="21"/>
          <w:highlight w:val="none"/>
          <w:lang w:eastAsia="zh-CN"/>
        </w:rPr>
      </w:pPr>
      <w:r>
        <w:rPr>
          <w:rFonts w:hint="eastAsia" w:ascii="Times New Roman" w:hAnsi="Times New Roman" w:eastAsia="Times New Roman" w:cs="Times New Roman"/>
          <w:color w:val="auto"/>
          <w:szCs w:val="21"/>
          <w:highlight w:val="none"/>
          <w:lang w:eastAsia="zh-CN"/>
        </w:rPr>
        <w:t>③算力的使用促进了数字经济与实体经济的融合发展</w:t>
      </w:r>
    </w:p>
    <w:p w14:paraId="1190B584">
      <w:pPr>
        <w:jc w:val="left"/>
        <w:textAlignment w:val="center"/>
        <w:rPr>
          <w:rFonts w:hint="eastAsia" w:ascii="Times New Roman" w:hAnsi="Times New Roman" w:eastAsia="Times New Roman" w:cs="Times New Roman"/>
          <w:color w:val="auto"/>
          <w:szCs w:val="21"/>
          <w:highlight w:val="none"/>
          <w:lang w:eastAsia="zh-CN"/>
        </w:rPr>
      </w:pPr>
      <w:r>
        <w:rPr>
          <w:rFonts w:hint="eastAsia" w:ascii="Times New Roman" w:hAnsi="Times New Roman" w:eastAsia="Times New Roman" w:cs="Times New Roman"/>
          <w:color w:val="auto"/>
          <w:szCs w:val="21"/>
          <w:highlight w:val="none"/>
          <w:lang w:eastAsia="zh-CN"/>
        </w:rPr>
        <w:t>④奖补政策降低了企业智能算力的成本，也有利于培育本土数字服务商</w:t>
      </w:r>
    </w:p>
    <w:p w14:paraId="314CE01D">
      <w:pPr>
        <w:jc w:val="left"/>
        <w:textAlignment w:val="center"/>
        <w:rPr>
          <w:rFonts w:hint="eastAsia" w:ascii="Times New Roman" w:hAnsi="Times New Roman" w:eastAsia="Times New Roman" w:cs="Times New Roman"/>
          <w:color w:val="auto"/>
          <w:szCs w:val="21"/>
          <w:highlight w:val="none"/>
          <w:lang w:eastAsia="zh-CN"/>
        </w:rPr>
      </w:pPr>
      <w:r>
        <w:rPr>
          <w:rFonts w:hint="eastAsia" w:ascii="Times New Roman" w:hAnsi="Times New Roman" w:eastAsia="Times New Roman" w:cs="Times New Roman"/>
          <w:color w:val="auto"/>
          <w:szCs w:val="21"/>
          <w:highlight w:val="none"/>
          <w:lang w:eastAsia="zh-CN"/>
        </w:rPr>
        <w:t>A．①②</w:t>
      </w:r>
      <w:r>
        <w:rPr>
          <w:rFonts w:hint="eastAsia" w:ascii="Times New Roman" w:hAnsi="Times New Roman" w:eastAsia="Times New Roman" w:cs="Times New Roman"/>
          <w:color w:val="auto"/>
          <w:szCs w:val="21"/>
          <w:highlight w:val="none"/>
          <w:lang w:eastAsia="zh-CN"/>
        </w:rPr>
        <w:tab/>
      </w:r>
      <w:r>
        <w:rPr>
          <w:rFonts w:hint="eastAsia" w:ascii="Times New Roman" w:hAnsi="Times New Roman" w:eastAsia="Times New Roman" w:cs="Times New Roman"/>
          <w:color w:val="auto"/>
          <w:szCs w:val="21"/>
          <w:highlight w:val="none"/>
          <w:lang w:val="en-US" w:eastAsia="zh-CN"/>
        </w:rPr>
        <w:t xml:space="preserve">  </w:t>
      </w:r>
      <w:r>
        <w:rPr>
          <w:rFonts w:hint="eastAsia" w:ascii="Times New Roman" w:hAnsi="Times New Roman" w:eastAsia="Times New Roman" w:cs="Times New Roman"/>
          <w:color w:val="auto"/>
          <w:szCs w:val="21"/>
          <w:highlight w:val="none"/>
          <w:lang w:eastAsia="zh-CN"/>
        </w:rPr>
        <w:t>B．①③</w:t>
      </w:r>
      <w:r>
        <w:rPr>
          <w:rFonts w:hint="eastAsia" w:ascii="Times New Roman" w:hAnsi="Times New Roman" w:eastAsia="Times New Roman" w:cs="Times New Roman"/>
          <w:color w:val="auto"/>
          <w:szCs w:val="21"/>
          <w:highlight w:val="none"/>
          <w:lang w:eastAsia="zh-CN"/>
        </w:rPr>
        <w:tab/>
      </w:r>
      <w:r>
        <w:rPr>
          <w:rFonts w:hint="eastAsia" w:ascii="Times New Roman" w:hAnsi="Times New Roman" w:eastAsia="Times New Roman" w:cs="Times New Roman"/>
          <w:color w:val="auto"/>
          <w:szCs w:val="21"/>
          <w:highlight w:val="none"/>
          <w:lang w:val="en-US" w:eastAsia="zh-CN"/>
        </w:rPr>
        <w:t xml:space="preserve"> </w:t>
      </w:r>
      <w:r>
        <w:rPr>
          <w:rFonts w:hint="eastAsia" w:ascii="Times New Roman" w:hAnsi="Times New Roman" w:eastAsia="Times New Roman" w:cs="Times New Roman"/>
          <w:color w:val="auto"/>
          <w:szCs w:val="21"/>
          <w:highlight w:val="none"/>
          <w:lang w:eastAsia="zh-CN"/>
        </w:rPr>
        <w:t>C．②④</w:t>
      </w:r>
      <w:r>
        <w:rPr>
          <w:rFonts w:hint="eastAsia" w:ascii="Times New Roman" w:hAnsi="Times New Roman" w:eastAsia="Times New Roman" w:cs="Times New Roman"/>
          <w:color w:val="auto"/>
          <w:szCs w:val="21"/>
          <w:highlight w:val="none"/>
          <w:lang w:eastAsia="zh-CN"/>
        </w:rPr>
        <w:tab/>
      </w:r>
      <w:r>
        <w:rPr>
          <w:rFonts w:hint="eastAsia" w:ascii="Times New Roman" w:hAnsi="Times New Roman" w:eastAsia="Times New Roman" w:cs="Times New Roman"/>
          <w:color w:val="auto"/>
          <w:szCs w:val="21"/>
          <w:highlight w:val="none"/>
          <w:lang w:eastAsia="zh-CN"/>
        </w:rPr>
        <w:t>D．③④</w:t>
      </w:r>
    </w:p>
    <w:p w14:paraId="66013CA6">
      <w:pPr>
        <w:jc w:val="left"/>
        <w:textAlignment w:val="center"/>
        <w:rPr>
          <w:rFonts w:hint="eastAsia" w:ascii="Times New Roman" w:hAnsi="Times New Roman" w:eastAsia="Times New Roman" w:cs="Times New Roman"/>
          <w:color w:val="auto"/>
          <w:szCs w:val="21"/>
          <w:highlight w:val="none"/>
          <w:lang w:eastAsia="zh-CN"/>
        </w:rPr>
      </w:pPr>
      <w:r>
        <w:rPr>
          <w:rFonts w:hint="eastAsia" w:ascii="Times New Roman" w:hAnsi="Times New Roman" w:eastAsia="Times New Roman" w:cs="Times New Roman"/>
          <w:color w:val="auto"/>
          <w:szCs w:val="21"/>
          <w:highlight w:val="none"/>
          <w:lang w:eastAsia="zh-CN"/>
        </w:rPr>
        <w:t>9．山东省民政厅联合省发展和改革委员会、省工业和信息化厅、省商务厅、省文化和旅游厅、省体育局等部门联合发布《关于组织开展2025山东养老服务消费提振年活动的通知》，决定自2025年3月至2026年2月，在全省组织开展2025山东养老服务消费提振年活动，进一步促进养老服务消费，提高老年人生活品质，更好满足老年人服务需求。这一举措有利于（ </w:t>
      </w:r>
      <w:r>
        <w:rPr>
          <w:rFonts w:hint="eastAsia" w:ascii="Times New Roman" w:hAnsi="Times New Roman" w:eastAsia="Times New Roman" w:cs="Times New Roman"/>
          <w:color w:val="auto"/>
          <w:szCs w:val="21"/>
          <w:highlight w:val="none"/>
          <w:lang w:val="en-US" w:eastAsia="zh-CN"/>
        </w:rPr>
        <w:t xml:space="preserve"> </w:t>
      </w:r>
      <w:r>
        <w:rPr>
          <w:rFonts w:hint="eastAsia" w:ascii="Times New Roman" w:hAnsi="Times New Roman" w:eastAsia="Times New Roman" w:cs="Times New Roman"/>
          <w:color w:val="auto"/>
          <w:szCs w:val="21"/>
          <w:highlight w:val="none"/>
          <w:lang w:eastAsia="zh-CN"/>
        </w:rPr>
        <w:t>  ）</w:t>
      </w:r>
    </w:p>
    <w:p w14:paraId="79195493">
      <w:pPr>
        <w:jc w:val="left"/>
        <w:textAlignment w:val="center"/>
        <w:rPr>
          <w:rFonts w:hint="eastAsia" w:ascii="Times New Roman" w:hAnsi="Times New Roman" w:eastAsia="Times New Roman" w:cs="Times New Roman"/>
          <w:color w:val="auto"/>
          <w:szCs w:val="21"/>
          <w:highlight w:val="none"/>
          <w:lang w:eastAsia="zh-CN"/>
        </w:rPr>
      </w:pPr>
      <w:r>
        <w:rPr>
          <w:rFonts w:hint="eastAsia" w:ascii="Times New Roman" w:hAnsi="Times New Roman" w:eastAsia="Times New Roman" w:cs="Times New Roman"/>
          <w:color w:val="auto"/>
          <w:szCs w:val="21"/>
          <w:highlight w:val="none"/>
          <w:lang w:eastAsia="zh-CN"/>
        </w:rPr>
        <w:t>①培育银发经济新业态，推动养老产业供给侧改革</w:t>
      </w:r>
    </w:p>
    <w:p w14:paraId="39537892">
      <w:pPr>
        <w:jc w:val="left"/>
        <w:textAlignment w:val="center"/>
        <w:rPr>
          <w:rFonts w:hint="eastAsia" w:ascii="Times New Roman" w:hAnsi="Times New Roman" w:eastAsia="Times New Roman" w:cs="Times New Roman"/>
          <w:color w:val="auto"/>
          <w:szCs w:val="21"/>
          <w:highlight w:val="none"/>
          <w:lang w:eastAsia="zh-CN"/>
        </w:rPr>
      </w:pPr>
      <w:r>
        <w:rPr>
          <w:rFonts w:hint="eastAsia" w:ascii="Times New Roman" w:hAnsi="Times New Roman" w:eastAsia="Times New Roman" w:cs="Times New Roman"/>
          <w:color w:val="auto"/>
          <w:szCs w:val="21"/>
          <w:highlight w:val="none"/>
          <w:lang w:eastAsia="zh-CN"/>
        </w:rPr>
        <w:t>②通过科学的宏观调控，以满足老年人的特殊需求</w:t>
      </w:r>
    </w:p>
    <w:p w14:paraId="10932D31">
      <w:pPr>
        <w:jc w:val="left"/>
        <w:textAlignment w:val="center"/>
        <w:rPr>
          <w:rFonts w:hint="eastAsia" w:ascii="Times New Roman" w:hAnsi="Times New Roman" w:eastAsia="Times New Roman" w:cs="Times New Roman"/>
          <w:color w:val="auto"/>
          <w:szCs w:val="21"/>
          <w:highlight w:val="none"/>
          <w:lang w:eastAsia="zh-CN"/>
        </w:rPr>
      </w:pPr>
      <w:r>
        <w:rPr>
          <w:rFonts w:hint="eastAsia" w:ascii="Times New Roman" w:hAnsi="Times New Roman" w:eastAsia="Times New Roman" w:cs="Times New Roman"/>
          <w:color w:val="auto"/>
          <w:szCs w:val="21"/>
          <w:highlight w:val="none"/>
          <w:lang w:eastAsia="zh-CN"/>
        </w:rPr>
        <w:t>③构建多元主体责任共担机制，维护社会和谐稳定</w:t>
      </w:r>
    </w:p>
    <w:p w14:paraId="33CF4E52">
      <w:pPr>
        <w:jc w:val="left"/>
        <w:textAlignment w:val="center"/>
        <w:rPr>
          <w:rFonts w:hint="eastAsia" w:ascii="Times New Roman" w:hAnsi="Times New Roman" w:eastAsia="Times New Roman" w:cs="Times New Roman"/>
          <w:color w:val="auto"/>
          <w:szCs w:val="21"/>
          <w:highlight w:val="none"/>
          <w:lang w:eastAsia="zh-CN"/>
        </w:rPr>
      </w:pPr>
      <w:r>
        <w:rPr>
          <w:rFonts w:hint="eastAsia" w:ascii="Times New Roman" w:hAnsi="Times New Roman" w:eastAsia="Times New Roman" w:cs="Times New Roman"/>
          <w:color w:val="auto"/>
          <w:szCs w:val="21"/>
          <w:highlight w:val="none"/>
          <w:lang w:eastAsia="zh-CN"/>
        </w:rPr>
        <w:t>④贯彻成年意定监护制度，保障老年人的合法权益</w:t>
      </w:r>
    </w:p>
    <w:p w14:paraId="39ADAFEC">
      <w:pPr>
        <w:jc w:val="left"/>
        <w:textAlignment w:val="center"/>
        <w:rPr>
          <w:rFonts w:hint="eastAsia" w:ascii="Times New Roman" w:hAnsi="Times New Roman" w:eastAsia="Times New Roman" w:cs="Times New Roman"/>
          <w:color w:val="auto"/>
          <w:szCs w:val="21"/>
          <w:highlight w:val="none"/>
          <w:lang w:eastAsia="zh-CN"/>
        </w:rPr>
      </w:pPr>
      <w:r>
        <w:rPr>
          <w:rFonts w:hint="eastAsia" w:ascii="Times New Roman" w:hAnsi="Times New Roman" w:eastAsia="Times New Roman" w:cs="Times New Roman"/>
          <w:color w:val="auto"/>
          <w:szCs w:val="21"/>
          <w:highlight w:val="none"/>
          <w:lang w:eastAsia="zh-CN"/>
        </w:rPr>
        <w:t>A．①②</w:t>
      </w:r>
      <w:r>
        <w:rPr>
          <w:rFonts w:hint="eastAsia" w:ascii="Times New Roman" w:hAnsi="Times New Roman" w:eastAsia="Times New Roman" w:cs="Times New Roman"/>
          <w:color w:val="auto"/>
          <w:szCs w:val="21"/>
          <w:highlight w:val="none"/>
          <w:lang w:eastAsia="zh-CN"/>
        </w:rPr>
        <w:tab/>
      </w:r>
      <w:r>
        <w:rPr>
          <w:rFonts w:hint="eastAsia" w:ascii="Times New Roman" w:hAnsi="Times New Roman" w:eastAsia="Times New Roman" w:cs="Times New Roman"/>
          <w:color w:val="auto"/>
          <w:szCs w:val="21"/>
          <w:highlight w:val="none"/>
          <w:lang w:eastAsia="zh-CN"/>
        </w:rPr>
        <w:t>B．①③</w:t>
      </w:r>
      <w:r>
        <w:rPr>
          <w:rFonts w:hint="eastAsia" w:ascii="Times New Roman" w:hAnsi="Times New Roman" w:eastAsia="Times New Roman" w:cs="Times New Roman"/>
          <w:color w:val="auto"/>
          <w:szCs w:val="21"/>
          <w:highlight w:val="none"/>
          <w:lang w:eastAsia="zh-CN"/>
        </w:rPr>
        <w:tab/>
      </w:r>
      <w:r>
        <w:rPr>
          <w:rFonts w:hint="eastAsia" w:ascii="Times New Roman" w:hAnsi="Times New Roman" w:eastAsia="Times New Roman" w:cs="Times New Roman"/>
          <w:color w:val="auto"/>
          <w:szCs w:val="21"/>
          <w:highlight w:val="none"/>
          <w:lang w:eastAsia="zh-CN"/>
        </w:rPr>
        <w:t>C．②④</w:t>
      </w:r>
      <w:r>
        <w:rPr>
          <w:rFonts w:hint="eastAsia" w:ascii="Times New Roman" w:hAnsi="Times New Roman" w:eastAsia="Times New Roman" w:cs="Times New Roman"/>
          <w:color w:val="auto"/>
          <w:szCs w:val="21"/>
          <w:highlight w:val="none"/>
          <w:lang w:eastAsia="zh-CN"/>
        </w:rPr>
        <w:tab/>
      </w:r>
      <w:r>
        <w:rPr>
          <w:rFonts w:hint="eastAsia" w:ascii="Times New Roman" w:hAnsi="Times New Roman" w:eastAsia="Times New Roman" w:cs="Times New Roman"/>
          <w:color w:val="auto"/>
          <w:szCs w:val="21"/>
          <w:highlight w:val="none"/>
          <w:lang w:eastAsia="zh-CN"/>
        </w:rPr>
        <w:t>D．③④</w:t>
      </w:r>
    </w:p>
    <w:p w14:paraId="58B34963">
      <w:pPr>
        <w:jc w:val="left"/>
        <w:textAlignment w:val="center"/>
        <w:rPr>
          <w:rFonts w:hint="eastAsia" w:ascii="Times New Roman" w:hAnsi="Times New Roman" w:eastAsia="Times New Roman" w:cs="Times New Roman"/>
          <w:color w:val="auto"/>
          <w:szCs w:val="21"/>
          <w:highlight w:val="none"/>
          <w:lang w:eastAsia="zh-CN"/>
        </w:rPr>
      </w:pPr>
      <w:r>
        <w:rPr>
          <w:rFonts w:hint="eastAsia" w:ascii="Times New Roman" w:hAnsi="Times New Roman" w:eastAsia="Times New Roman" w:cs="Times New Roman"/>
          <w:color w:val="auto"/>
          <w:szCs w:val="21"/>
          <w:highlight w:val="none"/>
          <w:lang w:val="en-US" w:eastAsia="zh-CN"/>
        </w:rPr>
        <w:t>10.</w:t>
      </w:r>
      <w:r>
        <w:rPr>
          <w:rFonts w:hint="eastAsia" w:ascii="Times New Roman" w:hAnsi="Times New Roman" w:eastAsia="Times New Roman" w:cs="Times New Roman"/>
          <w:color w:val="auto"/>
          <w:szCs w:val="21"/>
          <w:highlight w:val="none"/>
          <w:lang w:eastAsia="zh-CN"/>
        </w:rPr>
        <w:t>个人养老金制度是政府政策支持、个人自愿参加、市场化运营的补充养老保险制度。自2024年12月15日起，个人养老金制度从36个先行试点城市（地区）推开至全国，构建“账户开立+资金缴存+产品投资+综合服务”一站式个人养老金服务体系。个人养老金制度（  ）</w:t>
      </w:r>
    </w:p>
    <w:p w14:paraId="3E57A784">
      <w:pPr>
        <w:jc w:val="left"/>
        <w:textAlignment w:val="center"/>
        <w:rPr>
          <w:rFonts w:hint="eastAsia" w:ascii="Times New Roman" w:hAnsi="Times New Roman" w:eastAsia="Times New Roman" w:cs="Times New Roman"/>
          <w:color w:val="auto"/>
          <w:szCs w:val="21"/>
          <w:highlight w:val="none"/>
          <w:lang w:eastAsia="zh-CN"/>
        </w:rPr>
      </w:pPr>
      <w:r>
        <w:rPr>
          <w:rFonts w:hint="eastAsia" w:ascii="Times New Roman" w:hAnsi="Times New Roman" w:eastAsia="Times New Roman" w:cs="Times New Roman"/>
          <w:color w:val="auto"/>
          <w:szCs w:val="21"/>
          <w:highlight w:val="none"/>
          <w:lang w:eastAsia="zh-CN"/>
        </w:rPr>
        <w:t>①助力补齐养老保险短板,满足老年人多样化养老保障需求</w:t>
      </w:r>
    </w:p>
    <w:p w14:paraId="21290C08">
      <w:pPr>
        <w:jc w:val="left"/>
        <w:textAlignment w:val="center"/>
        <w:rPr>
          <w:rFonts w:hint="eastAsia" w:ascii="Times New Roman" w:hAnsi="Times New Roman" w:eastAsia="Times New Roman" w:cs="Times New Roman"/>
          <w:color w:val="auto"/>
          <w:szCs w:val="21"/>
          <w:highlight w:val="none"/>
          <w:lang w:eastAsia="zh-CN"/>
        </w:rPr>
      </w:pPr>
      <w:r>
        <w:rPr>
          <w:rFonts w:hint="eastAsia" w:ascii="Times New Roman" w:hAnsi="Times New Roman" w:eastAsia="Times New Roman" w:cs="Times New Roman"/>
          <w:color w:val="auto"/>
          <w:szCs w:val="21"/>
          <w:highlight w:val="none"/>
          <w:lang w:eastAsia="zh-CN"/>
        </w:rPr>
        <w:t>②作为社会保障体系的核心,有利于实现我国居民老有所养</w:t>
      </w:r>
    </w:p>
    <w:p w14:paraId="6052D75C">
      <w:pPr>
        <w:jc w:val="left"/>
        <w:textAlignment w:val="center"/>
        <w:rPr>
          <w:rFonts w:hint="eastAsia" w:ascii="Times New Roman" w:hAnsi="Times New Roman" w:eastAsia="Times New Roman" w:cs="Times New Roman"/>
          <w:color w:val="auto"/>
          <w:szCs w:val="21"/>
          <w:highlight w:val="none"/>
          <w:lang w:eastAsia="zh-CN"/>
        </w:rPr>
      </w:pPr>
      <w:r>
        <w:rPr>
          <w:rFonts w:hint="eastAsia" w:ascii="Times New Roman" w:hAnsi="Times New Roman" w:eastAsia="Times New Roman" w:cs="Times New Roman"/>
          <w:color w:val="auto"/>
          <w:szCs w:val="21"/>
          <w:highlight w:val="none"/>
          <w:lang w:eastAsia="zh-CN"/>
        </w:rPr>
        <w:t>③旨在缓解基本养老保险支付压力，构建最高层次的社会保障</w:t>
      </w:r>
    </w:p>
    <w:p w14:paraId="27338BA2">
      <w:pPr>
        <w:jc w:val="left"/>
        <w:textAlignment w:val="center"/>
        <w:rPr>
          <w:rFonts w:hint="eastAsia" w:ascii="Times New Roman" w:hAnsi="Times New Roman" w:eastAsia="Times New Roman" w:cs="Times New Roman"/>
          <w:color w:val="auto"/>
          <w:szCs w:val="21"/>
          <w:highlight w:val="none"/>
          <w:lang w:eastAsia="zh-CN"/>
        </w:rPr>
      </w:pPr>
      <w:r>
        <w:rPr>
          <w:rFonts w:hint="eastAsia" w:ascii="Times New Roman" w:hAnsi="Times New Roman" w:eastAsia="Times New Roman" w:cs="Times New Roman"/>
          <w:color w:val="auto"/>
          <w:szCs w:val="21"/>
          <w:highlight w:val="none"/>
          <w:lang w:eastAsia="zh-CN"/>
        </w:rPr>
        <w:t>④能充分发挥市场机制的作用，推动完善多层次养老保障体系</w:t>
      </w:r>
    </w:p>
    <w:p w14:paraId="019B3542">
      <w:pPr>
        <w:jc w:val="left"/>
        <w:textAlignment w:val="center"/>
        <w:rPr>
          <w:rFonts w:hint="eastAsia" w:ascii="Times New Roman" w:hAnsi="Times New Roman" w:eastAsia="Times New Roman" w:cs="Times New Roman"/>
          <w:color w:val="auto"/>
          <w:szCs w:val="21"/>
          <w:highlight w:val="none"/>
          <w:lang w:val="en-US" w:eastAsia="zh-CN"/>
        </w:rPr>
      </w:pPr>
      <w:r>
        <w:rPr>
          <w:rFonts w:hint="eastAsia" w:ascii="Times New Roman" w:hAnsi="Times New Roman" w:eastAsia="Times New Roman" w:cs="Times New Roman"/>
          <w:color w:val="auto"/>
          <w:szCs w:val="21"/>
          <w:highlight w:val="none"/>
          <w:lang w:eastAsia="zh-CN"/>
        </w:rPr>
        <w:t>A. ①③</w:t>
      </w:r>
      <w:r>
        <w:rPr>
          <w:rFonts w:hint="eastAsia" w:ascii="Times New Roman" w:hAnsi="Times New Roman" w:eastAsia="Times New Roman" w:cs="Times New Roman"/>
          <w:color w:val="auto"/>
          <w:szCs w:val="21"/>
          <w:highlight w:val="none"/>
          <w:lang w:eastAsia="zh-CN"/>
        </w:rPr>
        <w:tab/>
      </w:r>
      <w:r>
        <w:rPr>
          <w:rFonts w:hint="eastAsia" w:ascii="Times New Roman" w:hAnsi="Times New Roman" w:eastAsia="Times New Roman" w:cs="Times New Roman"/>
          <w:color w:val="auto"/>
          <w:szCs w:val="21"/>
          <w:highlight w:val="none"/>
          <w:lang w:eastAsia="zh-CN"/>
        </w:rPr>
        <w:t>B. ①④</w:t>
      </w:r>
      <w:r>
        <w:rPr>
          <w:rFonts w:hint="eastAsia" w:cs="Times New Roman"/>
          <w:color w:val="auto"/>
          <w:szCs w:val="21"/>
          <w:highlight w:val="none"/>
          <w:lang w:val="en-US" w:eastAsia="zh-CN"/>
        </w:rPr>
        <w:t xml:space="preserve"> </w:t>
      </w:r>
      <w:r>
        <w:rPr>
          <w:rFonts w:hint="eastAsia" w:ascii="Times New Roman" w:hAnsi="Times New Roman" w:eastAsia="Times New Roman" w:cs="Times New Roman"/>
          <w:color w:val="auto"/>
          <w:szCs w:val="21"/>
          <w:highlight w:val="none"/>
          <w:lang w:eastAsia="zh-CN"/>
        </w:rPr>
        <w:tab/>
      </w:r>
      <w:r>
        <w:rPr>
          <w:rFonts w:hint="eastAsia" w:ascii="Times New Roman" w:hAnsi="Times New Roman" w:eastAsia="Times New Roman" w:cs="Times New Roman"/>
          <w:color w:val="auto"/>
          <w:szCs w:val="21"/>
          <w:highlight w:val="none"/>
          <w:lang w:eastAsia="zh-CN"/>
        </w:rPr>
        <w:t>C. ②③</w:t>
      </w:r>
      <w:r>
        <w:rPr>
          <w:rFonts w:hint="eastAsia" w:ascii="Times New Roman" w:hAnsi="Times New Roman" w:eastAsia="Times New Roman" w:cs="Times New Roman"/>
          <w:color w:val="auto"/>
          <w:szCs w:val="21"/>
          <w:highlight w:val="none"/>
          <w:lang w:eastAsia="zh-CN"/>
        </w:rPr>
        <w:tab/>
      </w:r>
      <w:r>
        <w:rPr>
          <w:rFonts w:hint="eastAsia" w:cs="Times New Roman"/>
          <w:color w:val="auto"/>
          <w:szCs w:val="21"/>
          <w:highlight w:val="none"/>
          <w:lang w:val="en-US" w:eastAsia="zh-CN"/>
        </w:rPr>
        <w:t xml:space="preserve"> </w:t>
      </w:r>
      <w:r>
        <w:rPr>
          <w:rFonts w:hint="eastAsia" w:ascii="Times New Roman" w:hAnsi="Times New Roman" w:eastAsia="Times New Roman" w:cs="Times New Roman"/>
          <w:color w:val="auto"/>
          <w:szCs w:val="21"/>
          <w:highlight w:val="none"/>
          <w:lang w:eastAsia="zh-CN"/>
        </w:rPr>
        <w:t>D. ②④</w:t>
      </w:r>
    </w:p>
    <w:p w14:paraId="1A937C70">
      <w:pPr>
        <w:jc w:val="left"/>
        <w:textAlignment w:val="center"/>
        <w:rPr>
          <w:rFonts w:hint="eastAsia" w:ascii="Times New Roman" w:hAnsi="Times New Roman" w:eastAsia="Times New Roman" w:cs="Times New Roman"/>
          <w:color w:val="auto"/>
          <w:szCs w:val="21"/>
          <w:highlight w:val="none"/>
          <w:lang w:eastAsia="zh-CN"/>
        </w:rPr>
      </w:pPr>
      <w:r>
        <w:rPr>
          <w:rFonts w:hint="eastAsia" w:ascii="Times New Roman" w:hAnsi="Times New Roman" w:eastAsia="Times New Roman" w:cs="Times New Roman"/>
          <w:color w:val="auto"/>
          <w:szCs w:val="21"/>
          <w:highlight w:val="none"/>
          <w:lang w:val="en-US" w:eastAsia="zh-CN"/>
        </w:rPr>
        <w:t>11</w:t>
      </w:r>
      <w:r>
        <w:rPr>
          <w:rFonts w:hint="eastAsia" w:ascii="Times New Roman" w:hAnsi="Times New Roman" w:eastAsia="Times New Roman" w:cs="Times New Roman"/>
          <w:color w:val="auto"/>
          <w:szCs w:val="21"/>
          <w:highlight w:val="none"/>
          <w:lang w:eastAsia="zh-CN"/>
        </w:rPr>
        <w:t>．日前，山东省总工会联合多部门启动2025年集体协商“集中要约行动”。鼓励企业建立与“新八级工”相匹配的技能人才薪酬制度，完善技术创新奖励办法，合理确定行业技能人才起点工资，促进产业工人收入增长。建立股权激励、超额利润分享、项目分红等激励方式，逐步提高低工资劳动者收入水平，改善其工作生活环境。上述举措的意义在于（   </w:t>
      </w:r>
      <w:r>
        <w:rPr>
          <w:rFonts w:hint="eastAsia" w:cs="Times New Roman"/>
          <w:color w:val="auto"/>
          <w:szCs w:val="21"/>
          <w:highlight w:val="none"/>
          <w:lang w:val="en-US" w:eastAsia="zh-CN"/>
        </w:rPr>
        <w:t xml:space="preserve"> </w:t>
      </w:r>
      <w:r>
        <w:rPr>
          <w:rFonts w:hint="eastAsia" w:ascii="Times New Roman" w:hAnsi="Times New Roman" w:eastAsia="Times New Roman" w:cs="Times New Roman"/>
          <w:color w:val="auto"/>
          <w:szCs w:val="21"/>
          <w:highlight w:val="none"/>
          <w:lang w:eastAsia="zh-CN"/>
        </w:rPr>
        <w:t>）</w:t>
      </w:r>
    </w:p>
    <w:p w14:paraId="6368259F">
      <w:pPr>
        <w:jc w:val="left"/>
        <w:textAlignment w:val="center"/>
        <w:rPr>
          <w:rFonts w:hint="eastAsia" w:ascii="Times New Roman" w:hAnsi="Times New Roman" w:eastAsia="Times New Roman" w:cs="Times New Roman"/>
          <w:color w:val="auto"/>
          <w:szCs w:val="21"/>
          <w:highlight w:val="none"/>
          <w:lang w:eastAsia="zh-CN"/>
        </w:rPr>
      </w:pPr>
      <w:r>
        <w:rPr>
          <w:rFonts w:hint="eastAsia" w:ascii="Times New Roman" w:hAnsi="Times New Roman" w:eastAsia="Times New Roman" w:cs="Times New Roman"/>
          <w:color w:val="auto"/>
          <w:szCs w:val="21"/>
          <w:highlight w:val="none"/>
          <w:lang w:eastAsia="zh-CN"/>
        </w:rPr>
        <w:t>①劳动性与财产性收入提高，奠定扩大内需和畅通国内大循环的基础</w:t>
      </w:r>
    </w:p>
    <w:p w14:paraId="7E1B63C0">
      <w:pPr>
        <w:jc w:val="left"/>
        <w:textAlignment w:val="center"/>
        <w:rPr>
          <w:rFonts w:hint="eastAsia" w:ascii="Times New Roman" w:hAnsi="Times New Roman" w:eastAsia="Times New Roman" w:cs="Times New Roman"/>
          <w:color w:val="auto"/>
          <w:szCs w:val="21"/>
          <w:highlight w:val="none"/>
          <w:lang w:eastAsia="zh-CN"/>
        </w:rPr>
      </w:pPr>
      <w:r>
        <w:rPr>
          <w:rFonts w:hint="eastAsia" w:ascii="Times New Roman" w:hAnsi="Times New Roman" w:eastAsia="Times New Roman" w:cs="Times New Roman"/>
          <w:color w:val="auto"/>
          <w:szCs w:val="21"/>
          <w:highlight w:val="none"/>
          <w:lang w:eastAsia="zh-CN"/>
        </w:rPr>
        <w:t>②技能人才通过按劳分配获得薪酬，有利于增强消费意愿和消费能力</w:t>
      </w:r>
    </w:p>
    <w:p w14:paraId="7B62D674">
      <w:pPr>
        <w:jc w:val="left"/>
        <w:textAlignment w:val="center"/>
        <w:rPr>
          <w:rFonts w:hint="eastAsia" w:ascii="Times New Roman" w:hAnsi="Times New Roman" w:eastAsia="Times New Roman" w:cs="Times New Roman"/>
          <w:color w:val="auto"/>
          <w:szCs w:val="21"/>
          <w:highlight w:val="none"/>
          <w:lang w:eastAsia="zh-CN"/>
        </w:rPr>
      </w:pPr>
      <w:r>
        <w:rPr>
          <w:rFonts w:hint="eastAsia" w:ascii="Times New Roman" w:hAnsi="Times New Roman" w:eastAsia="Times New Roman" w:cs="Times New Roman"/>
          <w:color w:val="auto"/>
          <w:szCs w:val="21"/>
          <w:highlight w:val="none"/>
          <w:lang w:eastAsia="zh-CN"/>
        </w:rPr>
        <w:t>③产业工人和低工资劳动者收入增长，促进收入分配公平和共同富裕</w:t>
      </w:r>
    </w:p>
    <w:p w14:paraId="68574A0E">
      <w:pPr>
        <w:jc w:val="left"/>
        <w:textAlignment w:val="center"/>
        <w:rPr>
          <w:rFonts w:hint="eastAsia" w:ascii="Times New Roman" w:hAnsi="Times New Roman" w:eastAsia="Times New Roman" w:cs="Times New Roman"/>
          <w:color w:val="auto"/>
          <w:szCs w:val="21"/>
          <w:highlight w:val="none"/>
          <w:lang w:eastAsia="zh-CN"/>
        </w:rPr>
      </w:pPr>
      <w:r>
        <w:rPr>
          <w:rFonts w:hint="eastAsia" w:ascii="Times New Roman" w:hAnsi="Times New Roman" w:eastAsia="Times New Roman" w:cs="Times New Roman"/>
          <w:color w:val="auto"/>
          <w:szCs w:val="21"/>
          <w:highlight w:val="none"/>
          <w:lang w:eastAsia="zh-CN"/>
        </w:rPr>
        <w:t>④缩小技能收入与劳动报酬差距，增强居民对收入增长的确定性预期</w:t>
      </w:r>
    </w:p>
    <w:p w14:paraId="344CA917">
      <w:pPr>
        <w:jc w:val="left"/>
        <w:textAlignment w:val="center"/>
        <w:rPr>
          <w:rFonts w:hint="eastAsia" w:ascii="Times New Roman" w:hAnsi="Times New Roman" w:eastAsia="Times New Roman" w:cs="Times New Roman"/>
          <w:color w:val="auto"/>
          <w:szCs w:val="21"/>
          <w:highlight w:val="none"/>
          <w:lang w:eastAsia="zh-CN"/>
        </w:rPr>
      </w:pPr>
      <w:r>
        <w:rPr>
          <w:rFonts w:hint="eastAsia" w:ascii="Times New Roman" w:hAnsi="Times New Roman" w:eastAsia="Times New Roman" w:cs="Times New Roman"/>
          <w:color w:val="auto"/>
          <w:szCs w:val="21"/>
          <w:highlight w:val="none"/>
          <w:lang w:eastAsia="zh-CN"/>
        </w:rPr>
        <w:t>A．①②</w:t>
      </w:r>
      <w:r>
        <w:rPr>
          <w:rFonts w:hint="eastAsia" w:ascii="Times New Roman" w:hAnsi="Times New Roman" w:eastAsia="Times New Roman" w:cs="Times New Roman"/>
          <w:color w:val="auto"/>
          <w:szCs w:val="21"/>
          <w:highlight w:val="none"/>
          <w:lang w:val="en-US" w:eastAsia="zh-CN"/>
        </w:rPr>
        <w:t xml:space="preserve">  </w:t>
      </w:r>
      <w:r>
        <w:rPr>
          <w:rFonts w:hint="eastAsia" w:ascii="Times New Roman" w:hAnsi="Times New Roman" w:eastAsia="Times New Roman" w:cs="Times New Roman"/>
          <w:color w:val="auto"/>
          <w:szCs w:val="21"/>
          <w:highlight w:val="none"/>
          <w:lang w:eastAsia="zh-CN"/>
        </w:rPr>
        <w:tab/>
      </w:r>
      <w:r>
        <w:rPr>
          <w:rFonts w:hint="eastAsia" w:ascii="Times New Roman" w:hAnsi="Times New Roman" w:eastAsia="Times New Roman" w:cs="Times New Roman"/>
          <w:color w:val="auto"/>
          <w:szCs w:val="21"/>
          <w:highlight w:val="none"/>
          <w:lang w:eastAsia="zh-CN"/>
        </w:rPr>
        <w:t>B．①③</w:t>
      </w:r>
      <w:r>
        <w:rPr>
          <w:rFonts w:hint="eastAsia" w:ascii="Times New Roman" w:hAnsi="Times New Roman" w:eastAsia="Times New Roman" w:cs="Times New Roman"/>
          <w:color w:val="auto"/>
          <w:szCs w:val="21"/>
          <w:highlight w:val="none"/>
          <w:lang w:val="en-US" w:eastAsia="zh-CN"/>
        </w:rPr>
        <w:t xml:space="preserve">  </w:t>
      </w:r>
      <w:r>
        <w:rPr>
          <w:rFonts w:hint="eastAsia" w:ascii="Times New Roman" w:hAnsi="Times New Roman" w:eastAsia="Times New Roman" w:cs="Times New Roman"/>
          <w:color w:val="auto"/>
          <w:szCs w:val="21"/>
          <w:highlight w:val="none"/>
          <w:lang w:eastAsia="zh-CN"/>
        </w:rPr>
        <w:tab/>
      </w:r>
      <w:r>
        <w:rPr>
          <w:rFonts w:hint="eastAsia" w:ascii="Times New Roman" w:hAnsi="Times New Roman" w:eastAsia="Times New Roman" w:cs="Times New Roman"/>
          <w:color w:val="auto"/>
          <w:szCs w:val="21"/>
          <w:highlight w:val="none"/>
          <w:lang w:eastAsia="zh-CN"/>
        </w:rPr>
        <w:t>C．②④</w:t>
      </w:r>
      <w:r>
        <w:rPr>
          <w:rFonts w:hint="eastAsia" w:ascii="Times New Roman" w:hAnsi="Times New Roman" w:eastAsia="Times New Roman" w:cs="Times New Roman"/>
          <w:color w:val="auto"/>
          <w:szCs w:val="21"/>
          <w:highlight w:val="none"/>
          <w:lang w:val="en-US" w:eastAsia="zh-CN"/>
        </w:rPr>
        <w:t xml:space="preserve"> </w:t>
      </w:r>
      <w:r>
        <w:rPr>
          <w:rFonts w:hint="eastAsia" w:ascii="Times New Roman" w:hAnsi="Times New Roman" w:eastAsia="Times New Roman" w:cs="Times New Roman"/>
          <w:color w:val="auto"/>
          <w:szCs w:val="21"/>
          <w:highlight w:val="none"/>
          <w:lang w:eastAsia="zh-CN"/>
        </w:rPr>
        <w:tab/>
      </w:r>
      <w:r>
        <w:rPr>
          <w:rFonts w:hint="eastAsia" w:ascii="Times New Roman" w:hAnsi="Times New Roman" w:eastAsia="Times New Roman" w:cs="Times New Roman"/>
          <w:color w:val="auto"/>
          <w:szCs w:val="21"/>
          <w:highlight w:val="none"/>
          <w:lang w:eastAsia="zh-CN"/>
        </w:rPr>
        <w:t>D．③④</w:t>
      </w:r>
    </w:p>
    <w:p w14:paraId="32A6A0EB">
      <w:pPr>
        <w:jc w:val="left"/>
        <w:textAlignment w:val="center"/>
        <w:rPr>
          <w:rFonts w:hint="eastAsia"/>
          <w:color w:val="auto"/>
          <w:szCs w:val="21"/>
          <w:highlight w:val="none"/>
          <w:lang w:val="en-US" w:eastAsia="zh-CN"/>
        </w:rPr>
      </w:pPr>
      <w:r>
        <w:rPr>
          <w:rFonts w:hint="eastAsia"/>
          <w:color w:val="auto"/>
          <w:szCs w:val="21"/>
          <w:highlight w:val="none"/>
          <w:lang w:val="en-US" w:eastAsia="zh-CN"/>
        </w:rPr>
        <w:t>12．零基预算改革是对现有财政支出格局的深度调整，是对“基数+增长”预算编制方法的一次革命性变革。零基预算是从头开始审视所有支出需求，重新论证每一项开支的价值，并且在预算周期内重新进行评估。深化零基预算改革（    ）</w:t>
      </w:r>
    </w:p>
    <w:p w14:paraId="3CBAFDB6">
      <w:pPr>
        <w:jc w:val="left"/>
        <w:textAlignment w:val="center"/>
        <w:rPr>
          <w:rFonts w:hint="eastAsia"/>
          <w:color w:val="auto"/>
          <w:szCs w:val="21"/>
          <w:highlight w:val="none"/>
          <w:lang w:val="en-US" w:eastAsia="zh-CN"/>
        </w:rPr>
      </w:pPr>
      <w:r>
        <w:rPr>
          <w:rFonts w:hint="eastAsia"/>
          <w:color w:val="auto"/>
          <w:szCs w:val="21"/>
          <w:highlight w:val="none"/>
          <w:lang w:val="en-US" w:eastAsia="zh-CN"/>
        </w:rPr>
        <w:t>①目的在于释放货币的流动性，满足经济发展需要</w:t>
      </w:r>
    </w:p>
    <w:p w14:paraId="2BD6CC30">
      <w:pPr>
        <w:jc w:val="left"/>
        <w:textAlignment w:val="center"/>
        <w:rPr>
          <w:rFonts w:hint="eastAsia"/>
          <w:color w:val="auto"/>
          <w:szCs w:val="21"/>
          <w:highlight w:val="none"/>
          <w:lang w:val="en-US" w:eastAsia="zh-CN"/>
        </w:rPr>
      </w:pPr>
      <w:r>
        <w:rPr>
          <w:rFonts w:hint="eastAsia"/>
          <w:color w:val="auto"/>
          <w:szCs w:val="21"/>
          <w:highlight w:val="none"/>
          <w:lang w:val="en-US" w:eastAsia="zh-CN"/>
        </w:rPr>
        <w:t>②是破解支出固化困境，优化资源配置的重要举措</w:t>
      </w:r>
    </w:p>
    <w:p w14:paraId="54CAD0D8">
      <w:pPr>
        <w:jc w:val="left"/>
        <w:textAlignment w:val="center"/>
        <w:rPr>
          <w:rFonts w:hint="eastAsia"/>
          <w:color w:val="auto"/>
          <w:szCs w:val="21"/>
          <w:highlight w:val="none"/>
          <w:lang w:val="en-US" w:eastAsia="zh-CN"/>
        </w:rPr>
      </w:pPr>
      <w:r>
        <w:rPr>
          <w:rFonts w:hint="eastAsia"/>
          <w:color w:val="auto"/>
          <w:szCs w:val="21"/>
          <w:highlight w:val="none"/>
          <w:lang w:val="en-US" w:eastAsia="zh-CN"/>
        </w:rPr>
        <w:t>③有利于简化预算制定的过程，提高资金使用效益</w:t>
      </w:r>
    </w:p>
    <w:p w14:paraId="3EB22260">
      <w:pPr>
        <w:jc w:val="left"/>
        <w:textAlignment w:val="center"/>
        <w:rPr>
          <w:rFonts w:hint="eastAsia"/>
          <w:color w:val="auto"/>
          <w:szCs w:val="21"/>
          <w:highlight w:val="none"/>
          <w:lang w:val="en-US" w:eastAsia="zh-CN"/>
        </w:rPr>
      </w:pPr>
      <w:r>
        <w:rPr>
          <w:rFonts w:hint="eastAsia"/>
          <w:color w:val="auto"/>
          <w:szCs w:val="21"/>
          <w:highlight w:val="none"/>
          <w:lang w:val="en-US" w:eastAsia="zh-CN"/>
        </w:rPr>
        <w:t>④需要政府多部门的统筹协调，优化预算支出结构</w:t>
      </w:r>
    </w:p>
    <w:p w14:paraId="07CC8197">
      <w:pPr>
        <w:jc w:val="left"/>
        <w:textAlignment w:val="center"/>
        <w:rPr>
          <w:rFonts w:hint="eastAsia"/>
          <w:color w:val="auto"/>
          <w:szCs w:val="21"/>
          <w:highlight w:val="none"/>
          <w:lang w:val="en-US" w:eastAsia="zh-CN"/>
        </w:rPr>
      </w:pPr>
      <w:r>
        <w:rPr>
          <w:rFonts w:hint="eastAsia"/>
          <w:color w:val="auto"/>
          <w:szCs w:val="21"/>
          <w:highlight w:val="none"/>
          <w:lang w:val="en-US" w:eastAsia="zh-CN"/>
        </w:rPr>
        <w:t>A．①③</w:t>
      </w:r>
      <w:r>
        <w:rPr>
          <w:rFonts w:hint="eastAsia"/>
          <w:color w:val="auto"/>
          <w:szCs w:val="21"/>
          <w:highlight w:val="none"/>
          <w:lang w:val="en-US" w:eastAsia="zh-CN"/>
        </w:rPr>
        <w:tab/>
      </w:r>
      <w:r>
        <w:rPr>
          <w:rFonts w:hint="eastAsia"/>
          <w:color w:val="auto"/>
          <w:szCs w:val="21"/>
          <w:highlight w:val="none"/>
          <w:lang w:val="en-US" w:eastAsia="zh-CN"/>
        </w:rPr>
        <w:t>B．①④</w:t>
      </w:r>
      <w:r>
        <w:rPr>
          <w:rFonts w:hint="eastAsia"/>
          <w:color w:val="auto"/>
          <w:szCs w:val="21"/>
          <w:highlight w:val="none"/>
          <w:lang w:val="en-US" w:eastAsia="zh-CN"/>
        </w:rPr>
        <w:tab/>
      </w:r>
      <w:r>
        <w:rPr>
          <w:rFonts w:hint="eastAsia"/>
          <w:color w:val="auto"/>
          <w:szCs w:val="21"/>
          <w:highlight w:val="none"/>
          <w:lang w:val="en-US" w:eastAsia="zh-CN"/>
        </w:rPr>
        <w:t>C．②③</w:t>
      </w:r>
      <w:r>
        <w:rPr>
          <w:rFonts w:hint="eastAsia"/>
          <w:color w:val="auto"/>
          <w:szCs w:val="21"/>
          <w:highlight w:val="none"/>
          <w:lang w:val="en-US" w:eastAsia="zh-CN"/>
        </w:rPr>
        <w:tab/>
      </w:r>
      <w:r>
        <w:rPr>
          <w:rFonts w:hint="eastAsia"/>
          <w:color w:val="auto"/>
          <w:szCs w:val="21"/>
          <w:highlight w:val="none"/>
          <w:lang w:val="en-US" w:eastAsia="zh-CN"/>
        </w:rPr>
        <w:t>D．②④</w:t>
      </w:r>
    </w:p>
    <w:p w14:paraId="2F850D0F">
      <w:pPr>
        <w:jc w:val="left"/>
        <w:textAlignment w:val="center"/>
        <w:rPr>
          <w:rFonts w:hint="eastAsia" w:ascii="Times New Roman" w:hAnsi="Times New Roman" w:eastAsia="Times New Roman" w:cs="Times New Roman"/>
          <w:color w:val="auto"/>
          <w:szCs w:val="21"/>
          <w:highlight w:val="none"/>
          <w:lang w:val="en-US" w:eastAsia="zh-CN"/>
        </w:rPr>
      </w:pPr>
      <w:r>
        <w:rPr>
          <w:rFonts w:hint="eastAsia" w:ascii="Times New Roman" w:hAnsi="Times New Roman" w:eastAsia="Times New Roman" w:cs="Times New Roman"/>
          <w:color w:val="auto"/>
          <w:szCs w:val="21"/>
          <w:highlight w:val="none"/>
          <w:lang w:val="en-US" w:eastAsia="zh-CN"/>
        </w:rPr>
        <w:t>13.人人有医保，生活更美好。2025年医保新政落地：增加国家财政补助，放宽参保户籍限制，提高居民大病保险封顶线，扩大职工医保个人账户共济范围，新增５种门诊慢特病相关治疗费用跨省直接结算服务等，以上医保惠民新政举措旨在（   ）</w:t>
      </w:r>
    </w:p>
    <w:p w14:paraId="4BC4BCC9">
      <w:pPr>
        <w:jc w:val="left"/>
        <w:textAlignment w:val="center"/>
        <w:rPr>
          <w:rFonts w:hint="eastAsia" w:ascii="Times New Roman" w:hAnsi="Times New Roman" w:eastAsia="Times New Roman" w:cs="Times New Roman"/>
          <w:color w:val="auto"/>
          <w:szCs w:val="21"/>
          <w:highlight w:val="none"/>
          <w:lang w:val="en-US" w:eastAsia="zh-CN"/>
        </w:rPr>
      </w:pPr>
      <w:r>
        <w:rPr>
          <w:rFonts w:hint="eastAsia" w:ascii="Times New Roman" w:hAnsi="Times New Roman" w:eastAsia="Times New Roman" w:cs="Times New Roman"/>
          <w:color w:val="auto"/>
          <w:szCs w:val="21"/>
          <w:highlight w:val="none"/>
          <w:lang w:val="en-US" w:eastAsia="zh-CN"/>
        </w:rPr>
        <w:t>①提高医疗保险的覆盖面和便利性，增加人民群众福祉</w:t>
      </w:r>
    </w:p>
    <w:p w14:paraId="1F37D08A">
      <w:pPr>
        <w:jc w:val="left"/>
        <w:textAlignment w:val="center"/>
        <w:rPr>
          <w:rFonts w:hint="eastAsia" w:ascii="Times New Roman" w:hAnsi="Times New Roman" w:eastAsia="Times New Roman" w:cs="Times New Roman"/>
          <w:color w:val="auto"/>
          <w:szCs w:val="21"/>
          <w:highlight w:val="none"/>
          <w:lang w:val="en-US" w:eastAsia="zh-CN"/>
        </w:rPr>
      </w:pPr>
      <w:r>
        <w:rPr>
          <w:rFonts w:hint="eastAsia" w:ascii="Times New Roman" w:hAnsi="Times New Roman" w:eastAsia="Times New Roman" w:cs="Times New Roman"/>
          <w:color w:val="auto"/>
          <w:szCs w:val="21"/>
          <w:highlight w:val="none"/>
          <w:lang w:val="en-US" w:eastAsia="zh-CN"/>
        </w:rPr>
        <w:t>②增强医保基金的长效性和稳定性，优化医疗资源布局</w:t>
      </w:r>
    </w:p>
    <w:p w14:paraId="250B8408">
      <w:pPr>
        <w:jc w:val="left"/>
        <w:textAlignment w:val="center"/>
        <w:rPr>
          <w:rFonts w:hint="eastAsia" w:ascii="Times New Roman" w:hAnsi="Times New Roman" w:eastAsia="Times New Roman" w:cs="Times New Roman"/>
          <w:color w:val="auto"/>
          <w:szCs w:val="21"/>
          <w:highlight w:val="none"/>
          <w:lang w:val="en-US" w:eastAsia="zh-CN"/>
        </w:rPr>
      </w:pPr>
      <w:r>
        <w:rPr>
          <w:rFonts w:hint="eastAsia" w:ascii="Times New Roman" w:hAnsi="Times New Roman" w:eastAsia="Times New Roman" w:cs="Times New Roman"/>
          <w:color w:val="auto"/>
          <w:szCs w:val="21"/>
          <w:highlight w:val="none"/>
          <w:lang w:val="en-US" w:eastAsia="zh-CN"/>
        </w:rPr>
        <w:t>③调动参保人员的积极性和主动性，提高社会消费水平</w:t>
      </w:r>
    </w:p>
    <w:p w14:paraId="0BEC13A0">
      <w:pPr>
        <w:jc w:val="left"/>
        <w:textAlignment w:val="center"/>
        <w:rPr>
          <w:rFonts w:hint="eastAsia" w:ascii="Times New Roman" w:hAnsi="Times New Roman" w:eastAsia="Times New Roman" w:cs="Times New Roman"/>
          <w:color w:val="auto"/>
          <w:szCs w:val="21"/>
          <w:highlight w:val="none"/>
          <w:lang w:val="en-US" w:eastAsia="zh-CN"/>
        </w:rPr>
      </w:pPr>
      <w:r>
        <w:rPr>
          <w:rFonts w:hint="eastAsia" w:ascii="Times New Roman" w:hAnsi="Times New Roman" w:eastAsia="Times New Roman" w:cs="Times New Roman"/>
          <w:color w:val="auto"/>
          <w:szCs w:val="21"/>
          <w:highlight w:val="none"/>
          <w:lang w:val="en-US" w:eastAsia="zh-CN"/>
        </w:rPr>
        <w:t>④发挥社会保障的普惠性和互助性，深化医疗制度改革</w:t>
      </w:r>
    </w:p>
    <w:p w14:paraId="4FB5417F">
      <w:pPr>
        <w:jc w:val="left"/>
        <w:textAlignment w:val="center"/>
        <w:rPr>
          <w:rFonts w:hint="eastAsia" w:ascii="Times New Roman" w:hAnsi="Times New Roman" w:eastAsia="Times New Roman" w:cs="Times New Roman"/>
          <w:color w:val="auto"/>
          <w:szCs w:val="21"/>
          <w:highlight w:val="none"/>
          <w:lang w:val="en-US" w:eastAsia="zh-CN"/>
        </w:rPr>
      </w:pPr>
      <w:r>
        <w:rPr>
          <w:rFonts w:hint="eastAsia" w:cs="Times New Roman"/>
          <w:color w:val="auto"/>
          <w:szCs w:val="21"/>
          <w:highlight w:val="none"/>
          <w:lang w:val="en-US" w:eastAsia="zh-CN"/>
        </w:rPr>
        <w:t>A.</w:t>
      </w:r>
      <w:r>
        <w:rPr>
          <w:rFonts w:hint="eastAsia" w:ascii="Times New Roman" w:hAnsi="Times New Roman" w:eastAsia="Times New Roman" w:cs="Times New Roman"/>
          <w:color w:val="auto"/>
          <w:szCs w:val="21"/>
          <w:highlight w:val="none"/>
          <w:lang w:val="en-US" w:eastAsia="zh-CN"/>
        </w:rPr>
        <w:t>①②    B.①③    C.②④    D.③④</w:t>
      </w:r>
    </w:p>
    <w:p w14:paraId="419F32A7">
      <w:pPr>
        <w:rPr>
          <w:rFonts w:hint="eastAsia"/>
          <w:color w:val="auto"/>
        </w:rPr>
      </w:pPr>
      <w:r>
        <w:rPr>
          <w:rFonts w:hint="eastAsia"/>
          <w:color w:val="auto"/>
          <w:lang w:val="en-US" w:eastAsia="zh-CN"/>
        </w:rPr>
        <w:t>14.</w:t>
      </w:r>
      <w:r>
        <w:rPr>
          <w:rFonts w:hint="eastAsia"/>
          <w:color w:val="auto"/>
        </w:rPr>
        <w:t>专项债券是地方政府为了筹集资金建设某专项具体工程而发行的债券。《国务院办公厅关于优化完善地方政府专项债券管理机制的意见》指出，国家实行专项债券投向领域“负面清单”管理，未纳入“负面清单”的项目均可申请专项债券资金。专项债券依法不得用于经常性支出，严禁用于发放工资、养老金及支付单位运行经费、债务利息等。发行专项债券（   ）</w:t>
      </w:r>
    </w:p>
    <w:p w14:paraId="04F0A9AA">
      <w:pPr>
        <w:rPr>
          <w:rFonts w:hint="eastAsia"/>
          <w:color w:val="auto"/>
        </w:rPr>
      </w:pPr>
      <w:r>
        <w:rPr>
          <w:rFonts w:hint="eastAsia"/>
          <w:color w:val="auto"/>
        </w:rPr>
        <w:t>①通过扩大消费需求，进而带动有效投资，促进经济稳增长</w:t>
      </w:r>
    </w:p>
    <w:p w14:paraId="1FA319C1">
      <w:pPr>
        <w:rPr>
          <w:rFonts w:hint="eastAsia"/>
          <w:color w:val="auto"/>
        </w:rPr>
      </w:pPr>
      <w:r>
        <w:rPr>
          <w:rFonts w:hint="eastAsia"/>
          <w:color w:val="auto"/>
        </w:rPr>
        <w:t>②是直接融资方式和政府运用财政政策调控经济的</w:t>
      </w:r>
      <w:r>
        <w:rPr>
          <w:rFonts w:hint="eastAsia"/>
          <w:color w:val="auto"/>
          <w:lang w:eastAsia="zh-CN"/>
        </w:rPr>
        <w:t>有力</w:t>
      </w:r>
      <w:r>
        <w:rPr>
          <w:rFonts w:hint="eastAsia"/>
          <w:color w:val="auto"/>
        </w:rPr>
        <w:t>工具</w:t>
      </w:r>
    </w:p>
    <w:p w14:paraId="722F764D">
      <w:pPr>
        <w:rPr>
          <w:rFonts w:hint="eastAsia"/>
          <w:color w:val="auto"/>
        </w:rPr>
      </w:pPr>
      <w:r>
        <w:rPr>
          <w:rFonts w:hint="eastAsia"/>
          <w:color w:val="auto"/>
        </w:rPr>
        <w:t>③是政府为缓解资金紧张或解决临时经费不足而发行的债券</w:t>
      </w:r>
    </w:p>
    <w:p w14:paraId="5AD98B2F">
      <w:pPr>
        <w:rPr>
          <w:rFonts w:hint="eastAsia"/>
          <w:color w:val="auto"/>
        </w:rPr>
      </w:pPr>
      <w:r>
        <w:rPr>
          <w:rFonts w:hint="eastAsia"/>
          <w:color w:val="auto"/>
        </w:rPr>
        <w:t>④能激发民间投资潜力，引导民间资本支持重点领域项目建设</w:t>
      </w:r>
    </w:p>
    <w:p w14:paraId="7B5F77F4">
      <w:pPr>
        <w:rPr>
          <w:color w:val="auto"/>
          <w:sz w:val="21"/>
        </w:rPr>
      </w:pPr>
      <w:r>
        <w:rPr>
          <w:rFonts w:hint="eastAsia"/>
          <w:color w:val="auto"/>
        </w:rPr>
        <w:t>A．①②</w:t>
      </w:r>
      <w:r>
        <w:rPr>
          <w:rFonts w:hint="eastAsia"/>
          <w:color w:val="auto"/>
        </w:rPr>
        <w:tab/>
      </w:r>
      <w:r>
        <w:rPr>
          <w:rFonts w:hint="eastAsia"/>
          <w:color w:val="auto"/>
        </w:rPr>
        <w:t>B．①③</w:t>
      </w:r>
      <w:r>
        <w:rPr>
          <w:rFonts w:hint="eastAsia"/>
          <w:color w:val="auto"/>
        </w:rPr>
        <w:tab/>
      </w:r>
      <w:r>
        <w:rPr>
          <w:rFonts w:hint="eastAsia"/>
          <w:color w:val="auto"/>
        </w:rPr>
        <w:t>C．②④</w:t>
      </w:r>
      <w:r>
        <w:rPr>
          <w:rFonts w:hint="eastAsia"/>
          <w:color w:val="auto"/>
        </w:rPr>
        <w:tab/>
      </w:r>
      <w:r>
        <w:rPr>
          <w:rFonts w:hint="eastAsia"/>
          <w:color w:val="auto"/>
        </w:rPr>
        <w:t>D．③④</w:t>
      </w:r>
    </w:p>
    <w:p w14:paraId="5E090793">
      <w:pPr>
        <w:rPr>
          <w:rFonts w:hint="eastAsia" w:ascii="Times New Roman" w:hAnsi="Times New Roman" w:eastAsia="Times New Roman" w:cs="Times New Roman"/>
          <w:color w:val="auto"/>
        </w:rPr>
      </w:pPr>
      <w:r>
        <w:rPr>
          <w:rFonts w:hint="eastAsia" w:ascii="Times New Roman" w:hAnsi="Times New Roman" w:eastAsia="Times New Roman" w:cs="Times New Roman"/>
          <w:color w:val="auto"/>
          <w:lang w:val="en-US" w:eastAsia="zh-CN"/>
        </w:rPr>
        <w:t>15.</w:t>
      </w:r>
      <w:r>
        <w:rPr>
          <w:rFonts w:hint="eastAsia" w:ascii="Times New Roman" w:hAnsi="Times New Roman" w:eastAsia="Times New Roman" w:cs="Times New Roman"/>
          <w:color w:val="auto"/>
        </w:rPr>
        <w:t>某班学习小组围绕本市“社会救助领域的创新举措”开展探究活动，搜集到以下资料：</w:t>
      </w:r>
    </w:p>
    <w:tbl>
      <w:tblPr>
        <w:tblStyle w:val="7"/>
        <w:tblW w:w="9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650"/>
      </w:tblGrid>
      <w:tr w14:paraId="58A2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96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6D58469">
            <w:pPr>
              <w:rPr>
                <w:rFonts w:hint="eastAsia" w:ascii="Times New Roman" w:hAnsi="Times New Roman" w:eastAsia="Times New Roman" w:cs="Times New Roman"/>
                <w:color w:val="auto"/>
              </w:rPr>
            </w:pPr>
            <w:r>
              <w:rPr>
                <w:rFonts w:hint="eastAsia" w:ascii="Times New Roman" w:hAnsi="Times New Roman" w:eastAsia="Times New Roman" w:cs="Times New Roman"/>
                <w:color w:val="auto"/>
              </w:rPr>
              <w:drawing>
                <wp:anchor distT="0" distB="0" distL="0" distR="0" simplePos="0" relativeHeight="251660288" behindDoc="0" locked="0" layoutInCell="1" allowOverlap="1">
                  <wp:simplePos x="0" y="0"/>
                  <wp:positionH relativeFrom="column">
                    <wp:posOffset>-31750</wp:posOffset>
                  </wp:positionH>
                  <wp:positionV relativeFrom="paragraph">
                    <wp:posOffset>-29210</wp:posOffset>
                  </wp:positionV>
                  <wp:extent cx="253365" cy="198755"/>
                  <wp:effectExtent l="0" t="0" r="13335" b="10795"/>
                  <wp:wrapSquare wrapText="bothSides"/>
                  <wp:docPr id="100011" name="图片 10001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www.zqy.com"/>
                          <pic:cNvPicPr>
                            <a:picLocks noChangeAspect="1"/>
                          </pic:cNvPicPr>
                        </pic:nvPicPr>
                        <pic:blipFill>
                          <a:blip r:embed="rId12">
                            <a:lum/>
                          </a:blip>
                          <a:stretch>
                            <a:fillRect/>
                          </a:stretch>
                        </pic:blipFill>
                        <pic:spPr>
                          <a:xfrm>
                            <a:off x="0" y="0"/>
                            <a:ext cx="253365" cy="198755"/>
                          </a:xfrm>
                          <a:prstGeom prst="rect">
                            <a:avLst/>
                          </a:prstGeom>
                        </pic:spPr>
                      </pic:pic>
                    </a:graphicData>
                  </a:graphic>
                </wp:anchor>
              </w:drawing>
            </w:r>
            <w:r>
              <w:rPr>
                <w:rFonts w:hint="eastAsia" w:ascii="Times New Roman" w:hAnsi="Times New Roman" w:eastAsia="Times New Roman" w:cs="Times New Roman"/>
                <w:color w:val="auto"/>
              </w:rPr>
              <w:t>探索“物质+服务”的多维救助模式，为低收入家庭中的失能人员发放照料补助，建立低保家庭在校子女餐费补助机制，积极开展特困老人和困境儿童“护航计划”等“服务类”救助。</w:t>
            </w:r>
          </w:p>
          <w:p w14:paraId="7921A2B5">
            <w:pPr>
              <w:rPr>
                <w:rFonts w:hint="eastAsia" w:ascii="Times New Roman" w:hAnsi="Times New Roman" w:eastAsia="Times New Roman" w:cs="Times New Roman"/>
                <w:color w:val="auto"/>
              </w:rPr>
            </w:pPr>
            <w:r>
              <w:rPr>
                <w:rFonts w:hint="eastAsia" w:ascii="Times New Roman" w:hAnsi="Times New Roman" w:eastAsia="Times New Roman" w:cs="Times New Roman"/>
                <w:color w:val="auto"/>
              </w:rPr>
              <w:drawing>
                <wp:anchor distT="0" distB="0" distL="0" distR="0" simplePos="0" relativeHeight="251659264" behindDoc="0" locked="0" layoutInCell="1" allowOverlap="1">
                  <wp:simplePos x="0" y="0"/>
                  <wp:positionH relativeFrom="column">
                    <wp:posOffset>-52070</wp:posOffset>
                  </wp:positionH>
                  <wp:positionV relativeFrom="paragraph">
                    <wp:posOffset>19050</wp:posOffset>
                  </wp:positionV>
                  <wp:extent cx="253365" cy="167005"/>
                  <wp:effectExtent l="0" t="0" r="13335" b="4445"/>
                  <wp:wrapSquare wrapText="bothSides"/>
                  <wp:docPr id="3" name="图片 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ww.zqy.com"/>
                          <pic:cNvPicPr>
                            <a:picLocks noChangeAspect="1"/>
                          </pic:cNvPicPr>
                        </pic:nvPicPr>
                        <pic:blipFill>
                          <a:blip r:embed="rId12">
                            <a:lum/>
                          </a:blip>
                          <a:stretch>
                            <a:fillRect/>
                          </a:stretch>
                        </pic:blipFill>
                        <pic:spPr>
                          <a:xfrm>
                            <a:off x="0" y="0"/>
                            <a:ext cx="253365" cy="167005"/>
                          </a:xfrm>
                          <a:prstGeom prst="rect">
                            <a:avLst/>
                          </a:prstGeom>
                        </pic:spPr>
                      </pic:pic>
                    </a:graphicData>
                  </a:graphic>
                </wp:anchor>
              </w:drawing>
            </w:r>
            <w:r>
              <w:rPr>
                <w:rFonts w:hint="eastAsia" w:ascii="Times New Roman" w:hAnsi="Times New Roman" w:eastAsia="Times New Roman" w:cs="Times New Roman"/>
                <w:color w:val="auto"/>
              </w:rPr>
              <w:t>搭建一体化“智慧救助”平台，健全分层分类社会救助体系。对已纳入救助范围的，重点监测相关救助政策是否落实到位；对未纳入救助范围且符合条件的，由相关职能部门分类提供低保救助、医疗救助、教育救助、就业救助、受灾人员救助等救助帮扶。</w:t>
            </w:r>
          </w:p>
        </w:tc>
      </w:tr>
    </w:tbl>
    <w:p w14:paraId="587F7C09">
      <w:pPr>
        <w:rPr>
          <w:rFonts w:hint="eastAsia" w:ascii="Times New Roman" w:hAnsi="Times New Roman" w:eastAsia="Times New Roman" w:cs="Times New Roman"/>
          <w:color w:val="auto"/>
        </w:rPr>
      </w:pPr>
      <w:r>
        <w:rPr>
          <w:rFonts w:hint="eastAsia" w:ascii="Times New Roman" w:hAnsi="Times New Roman" w:eastAsia="Times New Roman" w:cs="Times New Roman"/>
          <w:color w:val="auto"/>
        </w:rPr>
        <w:t>该市的创新举措（  </w:t>
      </w:r>
      <w:r>
        <w:rPr>
          <w:rFonts w:hint="eastAsia" w:ascii="Times New Roman" w:hAnsi="Times New Roman" w:eastAsia="Times New Roman" w:cs="Times New Roman"/>
          <w:color w:val="auto"/>
          <w:lang w:val="en-US" w:eastAsia="zh-CN"/>
        </w:rPr>
        <w:t xml:space="preserve">  </w:t>
      </w:r>
      <w:r>
        <w:rPr>
          <w:rFonts w:hint="eastAsia" w:ascii="Times New Roman" w:hAnsi="Times New Roman" w:eastAsia="Times New Roman" w:cs="Times New Roman"/>
          <w:color w:val="auto"/>
        </w:rPr>
        <w:t> ）</w:t>
      </w:r>
    </w:p>
    <w:p w14:paraId="3915612B">
      <w:pPr>
        <w:rPr>
          <w:rFonts w:hint="eastAsia" w:ascii="Times New Roman" w:hAnsi="Times New Roman" w:eastAsia="Times New Roman" w:cs="Times New Roman"/>
          <w:color w:val="auto"/>
          <w:lang w:eastAsia="zh-CN"/>
        </w:rPr>
      </w:pPr>
      <w:r>
        <w:rPr>
          <w:rFonts w:hint="eastAsia" w:ascii="Times New Roman" w:hAnsi="Times New Roman" w:eastAsia="Times New Roman" w:cs="Times New Roman"/>
          <w:color w:val="auto"/>
        </w:rPr>
        <w:t>①精准对接困难群众</w:t>
      </w:r>
      <w:r>
        <w:rPr>
          <w:rFonts w:hint="eastAsia" w:ascii="Times New Roman" w:hAnsi="Times New Roman" w:eastAsia="Times New Roman" w:cs="Times New Roman"/>
          <w:color w:val="auto"/>
          <w:lang w:eastAsia="zh-CN"/>
        </w:rPr>
        <w:t>的司法救助需求</w:t>
      </w:r>
      <w:r>
        <w:rPr>
          <w:rFonts w:hint="eastAsia" w:ascii="Times New Roman" w:hAnsi="Times New Roman" w:eastAsia="Times New Roman" w:cs="Times New Roman"/>
          <w:color w:val="auto"/>
        </w:rPr>
        <w:t>，</w:t>
      </w:r>
      <w:r>
        <w:rPr>
          <w:rFonts w:hint="eastAsia" w:ascii="Times New Roman" w:hAnsi="Times New Roman" w:eastAsia="Times New Roman" w:cs="Times New Roman"/>
          <w:color w:val="auto"/>
          <w:lang w:eastAsia="zh-CN"/>
        </w:rPr>
        <w:t>维护人们的合法权益</w:t>
      </w:r>
    </w:p>
    <w:p w14:paraId="18D3A99C">
      <w:pPr>
        <w:rPr>
          <w:rFonts w:hint="eastAsia" w:ascii="Times New Roman" w:hAnsi="Times New Roman" w:eastAsia="Times New Roman" w:cs="Times New Roman"/>
          <w:color w:val="auto"/>
          <w:lang w:eastAsia="zh-CN"/>
        </w:rPr>
      </w:pPr>
      <w:r>
        <w:rPr>
          <w:rFonts w:hint="eastAsia" w:ascii="Times New Roman" w:hAnsi="Times New Roman" w:eastAsia="Times New Roman" w:cs="Times New Roman"/>
          <w:color w:val="auto"/>
        </w:rPr>
        <w:t>②通过</w:t>
      </w:r>
      <w:r>
        <w:rPr>
          <w:rFonts w:hint="eastAsia" w:ascii="Times New Roman" w:hAnsi="Times New Roman" w:eastAsia="Times New Roman" w:cs="Times New Roman"/>
          <w:color w:val="auto"/>
          <w:lang w:eastAsia="zh-CN"/>
        </w:rPr>
        <w:t>再</w:t>
      </w:r>
      <w:r>
        <w:rPr>
          <w:rFonts w:hint="eastAsia" w:ascii="Times New Roman" w:hAnsi="Times New Roman" w:eastAsia="Times New Roman" w:cs="Times New Roman"/>
          <w:color w:val="auto"/>
        </w:rPr>
        <w:t>分配兜牢</w:t>
      </w:r>
      <w:r>
        <w:rPr>
          <w:rFonts w:hint="eastAsia" w:ascii="Times New Roman" w:hAnsi="Times New Roman" w:eastAsia="Times New Roman" w:cs="Times New Roman"/>
          <w:color w:val="auto"/>
          <w:lang w:eastAsia="zh-CN"/>
        </w:rPr>
        <w:t>社会</w:t>
      </w:r>
      <w:r>
        <w:rPr>
          <w:rFonts w:hint="eastAsia" w:ascii="Times New Roman" w:hAnsi="Times New Roman" w:eastAsia="Times New Roman" w:cs="Times New Roman"/>
          <w:color w:val="auto"/>
        </w:rPr>
        <w:t>民生底线，</w:t>
      </w:r>
      <w:r>
        <w:rPr>
          <w:rFonts w:hint="eastAsia" w:ascii="Times New Roman" w:hAnsi="Times New Roman" w:eastAsia="Times New Roman" w:cs="Times New Roman"/>
          <w:color w:val="auto"/>
          <w:lang w:eastAsia="zh-CN"/>
        </w:rPr>
        <w:t>健全多层次社会保障体系</w:t>
      </w:r>
    </w:p>
    <w:p w14:paraId="3025CBCF">
      <w:pPr>
        <w:rPr>
          <w:rFonts w:hint="eastAsia" w:ascii="Times New Roman" w:hAnsi="Times New Roman" w:eastAsia="Times New Roman" w:cs="Times New Roman"/>
          <w:color w:val="auto"/>
        </w:rPr>
      </w:pPr>
      <w:r>
        <w:rPr>
          <w:rFonts w:hint="eastAsia" w:ascii="Times New Roman" w:hAnsi="Times New Roman" w:eastAsia="Times New Roman" w:cs="Times New Roman"/>
          <w:color w:val="auto"/>
        </w:rPr>
        <w:t>③以数智驱动与协同共治构建更高效、温暖的社会救助体系</w:t>
      </w:r>
    </w:p>
    <w:p w14:paraId="0C60B1F7">
      <w:pPr>
        <w:rPr>
          <w:rFonts w:hint="eastAsia" w:ascii="Times New Roman" w:hAnsi="Times New Roman" w:eastAsia="Times New Roman" w:cs="Times New Roman"/>
          <w:color w:val="auto"/>
          <w:lang w:eastAsia="zh-CN"/>
        </w:rPr>
      </w:pPr>
      <w:r>
        <w:rPr>
          <w:rFonts w:hint="eastAsia" w:ascii="Times New Roman" w:hAnsi="Times New Roman" w:eastAsia="Times New Roman" w:cs="Times New Roman"/>
          <w:color w:val="auto"/>
        </w:rPr>
        <w:t>④加大救助资金的转移支付力度，</w:t>
      </w:r>
      <w:r>
        <w:rPr>
          <w:rFonts w:hint="eastAsia" w:ascii="Times New Roman" w:hAnsi="Times New Roman" w:eastAsia="Times New Roman" w:cs="Times New Roman"/>
          <w:color w:val="auto"/>
          <w:lang w:eastAsia="zh-CN"/>
        </w:rPr>
        <w:t>保障成员生活安全和生存权利</w:t>
      </w:r>
    </w:p>
    <w:p w14:paraId="0663D8D6">
      <w:pPr>
        <w:rPr>
          <w:rFonts w:hint="eastAsia" w:ascii="Times New Roman" w:hAnsi="Times New Roman" w:eastAsia="Times New Roman" w:cs="Times New Roman"/>
          <w:color w:val="auto"/>
        </w:rPr>
      </w:pPr>
      <w:r>
        <w:rPr>
          <w:rFonts w:hint="eastAsia" w:ascii="Times New Roman" w:hAnsi="Times New Roman" w:eastAsia="Times New Roman" w:cs="Times New Roman"/>
          <w:color w:val="auto"/>
        </w:rPr>
        <w:t>A．①②</w:t>
      </w:r>
      <w:r>
        <w:rPr>
          <w:rFonts w:hint="eastAsia" w:ascii="Times New Roman" w:hAnsi="Times New Roman" w:eastAsia="Times New Roman" w:cs="Times New Roman"/>
          <w:color w:val="auto"/>
        </w:rPr>
        <w:tab/>
      </w:r>
      <w:r>
        <w:rPr>
          <w:rFonts w:hint="eastAsia" w:ascii="Times New Roman" w:hAnsi="Times New Roman" w:eastAsia="Times New Roman" w:cs="Times New Roman"/>
          <w:color w:val="auto"/>
        </w:rPr>
        <w:t>B．②④</w:t>
      </w:r>
      <w:r>
        <w:rPr>
          <w:rFonts w:hint="eastAsia" w:ascii="Times New Roman" w:hAnsi="Times New Roman" w:eastAsia="Times New Roman" w:cs="Times New Roman"/>
          <w:color w:val="auto"/>
        </w:rPr>
        <w:tab/>
      </w:r>
      <w:r>
        <w:rPr>
          <w:rFonts w:hint="eastAsia" w:ascii="Times New Roman" w:hAnsi="Times New Roman" w:eastAsia="Times New Roman" w:cs="Times New Roman"/>
          <w:color w:val="auto"/>
          <w:lang w:val="en-US" w:eastAsia="zh-CN"/>
        </w:rPr>
        <w:t xml:space="preserve">  </w:t>
      </w:r>
      <w:r>
        <w:rPr>
          <w:rFonts w:hint="eastAsia" w:ascii="Times New Roman" w:hAnsi="Times New Roman" w:eastAsia="Times New Roman" w:cs="Times New Roman"/>
          <w:color w:val="auto"/>
        </w:rPr>
        <w:t>C．①③</w:t>
      </w:r>
      <w:r>
        <w:rPr>
          <w:rFonts w:hint="eastAsia" w:ascii="Times New Roman" w:hAnsi="Times New Roman" w:eastAsia="Times New Roman" w:cs="Times New Roman"/>
          <w:color w:val="auto"/>
        </w:rPr>
        <w:tab/>
      </w:r>
      <w:r>
        <w:rPr>
          <w:rFonts w:hint="eastAsia" w:ascii="Times New Roman" w:hAnsi="Times New Roman" w:eastAsia="Times New Roman" w:cs="Times New Roman"/>
          <w:color w:val="auto"/>
        </w:rPr>
        <w:t>D．③④</w:t>
      </w:r>
    </w:p>
    <w:p w14:paraId="3B9F8162">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val="en-US" w:eastAsia="zh-CN"/>
        </w:rPr>
        <w:t>1</w:t>
      </w:r>
      <w:r>
        <w:rPr>
          <w:rFonts w:hint="eastAsia" w:cs="Times New Roman"/>
          <w:color w:val="auto"/>
          <w:kern w:val="0"/>
          <w:sz w:val="24"/>
          <w:szCs w:val="24"/>
          <w:lang w:val="en-US" w:eastAsia="zh-CN"/>
        </w:rPr>
        <w:t>6</w:t>
      </w:r>
      <w:r>
        <w:rPr>
          <w:rFonts w:hint="eastAsia" w:ascii="Times New Roman" w:hAnsi="Times New Roman" w:eastAsia="Times New Roman" w:cs="Times New Roman"/>
          <w:color w:val="auto"/>
          <w:kern w:val="0"/>
          <w:sz w:val="24"/>
          <w:szCs w:val="24"/>
          <w:lang w:val="en-US" w:eastAsia="zh-CN"/>
        </w:rPr>
        <w:t>.</w:t>
      </w:r>
      <w:r>
        <w:rPr>
          <w:rFonts w:hint="eastAsia" w:ascii="Times New Roman" w:hAnsi="Times New Roman" w:eastAsia="Times New Roman" w:cs="Times New Roman"/>
          <w:color w:val="auto"/>
          <w:kern w:val="0"/>
          <w:sz w:val="24"/>
          <w:szCs w:val="24"/>
          <w:lang w:eastAsia="zh-CN"/>
        </w:rPr>
        <w:t>民法基本原则是民事主体从事民事活动和司法机关审理民事案件时应当遵循的基本原则，是具有普遍约束力的一般原则。下列行为与民法基本原则对应正确的是（</w:t>
      </w:r>
      <w:r>
        <w:rPr>
          <w:rFonts w:hint="eastAsia" w:cs="Times New Roman"/>
          <w:color w:val="auto"/>
          <w:kern w:val="0"/>
          <w:sz w:val="24"/>
          <w:szCs w:val="24"/>
          <w:lang w:val="en-US" w:eastAsia="zh-CN"/>
        </w:rPr>
        <w:t xml:space="preserve"> </w:t>
      </w:r>
      <w:r>
        <w:rPr>
          <w:rFonts w:hint="eastAsia" w:ascii="Times New Roman" w:hAnsi="Times New Roman" w:eastAsia="Times New Roman" w:cs="Times New Roman"/>
          <w:color w:val="auto"/>
          <w:kern w:val="0"/>
          <w:sz w:val="24"/>
          <w:szCs w:val="24"/>
          <w:lang w:eastAsia="zh-CN"/>
        </w:rPr>
        <w:t>   ）</w:t>
      </w:r>
    </w:p>
    <w:p w14:paraId="5CD6A43F">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①购买人瞒着中介方直接与出售人进行交易——违背诚信原则</w:t>
      </w:r>
    </w:p>
    <w:p w14:paraId="3167E9D1">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②税务局工作人员向残疾人征收个人所得税——违背公平原则</w:t>
      </w:r>
    </w:p>
    <w:p w14:paraId="36535C90">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③劳动纠纷未经仲裁不能向人民法院起诉——符合协商一致原则</w:t>
      </w:r>
    </w:p>
    <w:p w14:paraId="559C64F1">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④王某为儿子取名为“王者荣耀”，被当地公安机关拒绝办理户口登记——是对自愿原则的限制</w:t>
      </w:r>
    </w:p>
    <w:p w14:paraId="5AE8E2F6">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rPr>
        <w:t>A．</w:t>
      </w:r>
      <w:r>
        <w:rPr>
          <w:rFonts w:hint="eastAsia" w:ascii="Times New Roman" w:hAnsi="Times New Roman" w:eastAsia="Times New Roman" w:cs="Times New Roman"/>
          <w:color w:val="auto"/>
          <w:kern w:val="0"/>
          <w:sz w:val="24"/>
          <w:szCs w:val="24"/>
          <w:lang w:eastAsia="zh-CN"/>
        </w:rPr>
        <w:t>①②</w:t>
      </w:r>
      <w:r>
        <w:rPr>
          <w:rFonts w:hint="eastAsia" w:ascii="Times New Roman" w:hAnsi="Times New Roman" w:eastAsia="Times New Roman" w:cs="Times New Roman"/>
          <w:color w:val="auto"/>
          <w:kern w:val="0"/>
          <w:sz w:val="24"/>
          <w:szCs w:val="24"/>
          <w:lang w:eastAsia="zh-CN"/>
        </w:rPr>
        <w:tab/>
      </w:r>
      <w:r>
        <w:rPr>
          <w:rFonts w:hint="eastAsia" w:ascii="Times New Roman" w:hAnsi="Times New Roman" w:eastAsia="Times New Roman" w:cs="Times New Roman"/>
          <w:color w:val="auto"/>
          <w:kern w:val="0"/>
          <w:sz w:val="24"/>
          <w:szCs w:val="24"/>
          <w:lang w:eastAsia="zh-CN"/>
        </w:rPr>
        <w:t>B．②③</w:t>
      </w:r>
      <w:r>
        <w:rPr>
          <w:rFonts w:hint="eastAsia" w:ascii="Times New Roman" w:hAnsi="Times New Roman" w:eastAsia="Times New Roman" w:cs="Times New Roman"/>
          <w:color w:val="auto"/>
          <w:kern w:val="0"/>
          <w:sz w:val="24"/>
          <w:szCs w:val="24"/>
          <w:lang w:eastAsia="zh-CN"/>
        </w:rPr>
        <w:tab/>
      </w:r>
      <w:r>
        <w:rPr>
          <w:rFonts w:hint="eastAsia" w:ascii="Times New Roman" w:hAnsi="Times New Roman" w:eastAsia="Times New Roman" w:cs="Times New Roman"/>
          <w:color w:val="auto"/>
          <w:kern w:val="0"/>
          <w:sz w:val="24"/>
          <w:szCs w:val="24"/>
          <w:lang w:eastAsia="zh-CN"/>
        </w:rPr>
        <w:t>C．①④</w:t>
      </w:r>
      <w:r>
        <w:rPr>
          <w:rFonts w:hint="eastAsia" w:ascii="Times New Roman" w:hAnsi="Times New Roman" w:eastAsia="Times New Roman" w:cs="Times New Roman"/>
          <w:color w:val="auto"/>
          <w:kern w:val="0"/>
          <w:sz w:val="24"/>
          <w:szCs w:val="24"/>
          <w:lang w:eastAsia="zh-CN"/>
        </w:rPr>
        <w:tab/>
      </w:r>
      <w:r>
        <w:rPr>
          <w:rFonts w:hint="eastAsia" w:ascii="Times New Roman" w:hAnsi="Times New Roman" w:eastAsia="Times New Roman" w:cs="Times New Roman"/>
          <w:color w:val="auto"/>
          <w:kern w:val="0"/>
          <w:sz w:val="24"/>
          <w:szCs w:val="24"/>
          <w:lang w:eastAsia="zh-CN"/>
        </w:rPr>
        <w:t>D．③④</w:t>
      </w:r>
    </w:p>
    <w:p w14:paraId="75E39B49">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cs="Times New Roman"/>
          <w:color w:val="auto"/>
          <w:kern w:val="0"/>
          <w:sz w:val="24"/>
          <w:szCs w:val="24"/>
          <w:lang w:val="en-US" w:eastAsia="zh-CN"/>
        </w:rPr>
        <w:t>17</w:t>
      </w:r>
      <w:r>
        <w:rPr>
          <w:rFonts w:hint="eastAsia" w:ascii="Times New Roman" w:hAnsi="Times New Roman" w:eastAsia="Times New Roman" w:cs="Times New Roman"/>
          <w:color w:val="auto"/>
          <w:kern w:val="0"/>
          <w:sz w:val="24"/>
          <w:szCs w:val="24"/>
          <w:lang w:eastAsia="zh-CN"/>
        </w:rPr>
        <w:t>．生活处处有法律。小明（1</w:t>
      </w:r>
      <w:r>
        <w:rPr>
          <w:rFonts w:hint="eastAsia" w:ascii="Times New Roman" w:hAnsi="Times New Roman" w:eastAsia="Times New Roman" w:cs="Times New Roman"/>
          <w:color w:val="auto"/>
          <w:kern w:val="0"/>
          <w:sz w:val="24"/>
          <w:szCs w:val="24"/>
          <w:lang w:val="en-US" w:eastAsia="zh-CN"/>
        </w:rPr>
        <w:t>7</w:t>
      </w:r>
      <w:r>
        <w:rPr>
          <w:rFonts w:hint="eastAsia" w:ascii="Times New Roman" w:hAnsi="Times New Roman" w:eastAsia="Times New Roman" w:cs="Times New Roman"/>
          <w:color w:val="auto"/>
          <w:kern w:val="0"/>
          <w:sz w:val="24"/>
          <w:szCs w:val="24"/>
          <w:lang w:eastAsia="zh-CN"/>
        </w:rPr>
        <w:t>周岁）是某私营快递公司的快递员，由于父亲是一位国有企业职工，母亲是某合伙企业的合伙人，工作都挺忙，小明在工作之余便主动地承担起接送四岁的弟弟去幼儿园的任务。下列判断正确的是（ </w:t>
      </w:r>
      <w:r>
        <w:rPr>
          <w:rFonts w:hint="eastAsia" w:cs="Times New Roman"/>
          <w:color w:val="auto"/>
          <w:kern w:val="0"/>
          <w:sz w:val="24"/>
          <w:szCs w:val="24"/>
          <w:lang w:val="en-US" w:eastAsia="zh-CN"/>
        </w:rPr>
        <w:t xml:space="preserve">  </w:t>
      </w:r>
      <w:r>
        <w:rPr>
          <w:rFonts w:hint="eastAsia" w:ascii="Times New Roman" w:hAnsi="Times New Roman" w:eastAsia="Times New Roman" w:cs="Times New Roman"/>
          <w:color w:val="auto"/>
          <w:kern w:val="0"/>
          <w:sz w:val="24"/>
          <w:szCs w:val="24"/>
          <w:lang w:eastAsia="zh-CN"/>
        </w:rPr>
        <w:t>  ）</w:t>
      </w:r>
    </w:p>
    <w:p w14:paraId="4D1A538E">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①作为完全民事行为能力人的小明，依法应当承担对其弟弟的监护责任</w:t>
      </w:r>
    </w:p>
    <w:p w14:paraId="160578EE">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②私营企业的员工小明不一定要与单位订立劳动合同才能确立劳动关系</w:t>
      </w:r>
    </w:p>
    <w:p w14:paraId="011A557A">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③母亲在合伙企业中承担无限连带责任，其经营所得应缴纳个人所得税</w:t>
      </w:r>
    </w:p>
    <w:p w14:paraId="578514C1">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④由于年龄差距较大，法律规定小明和弟弟的民事权利能力会有所不同</w:t>
      </w:r>
    </w:p>
    <w:p w14:paraId="35C697EF">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A．①③</w:t>
      </w:r>
      <w:r>
        <w:rPr>
          <w:rFonts w:hint="eastAsia" w:ascii="Times New Roman" w:hAnsi="Times New Roman" w:eastAsia="Times New Roman" w:cs="Times New Roman"/>
          <w:color w:val="auto"/>
          <w:kern w:val="0"/>
          <w:sz w:val="24"/>
          <w:szCs w:val="24"/>
          <w:lang w:eastAsia="zh-CN"/>
        </w:rPr>
        <w:tab/>
      </w:r>
      <w:r>
        <w:rPr>
          <w:rFonts w:hint="eastAsia" w:ascii="Times New Roman" w:hAnsi="Times New Roman" w:eastAsia="Times New Roman" w:cs="Times New Roman"/>
          <w:color w:val="auto"/>
          <w:kern w:val="0"/>
          <w:sz w:val="24"/>
          <w:szCs w:val="24"/>
          <w:lang w:eastAsia="zh-CN"/>
        </w:rPr>
        <w:t>B．①④</w:t>
      </w:r>
      <w:r>
        <w:rPr>
          <w:rFonts w:hint="eastAsia" w:ascii="Times New Roman" w:hAnsi="Times New Roman" w:eastAsia="Times New Roman" w:cs="Times New Roman"/>
          <w:color w:val="auto"/>
          <w:kern w:val="0"/>
          <w:sz w:val="24"/>
          <w:szCs w:val="24"/>
          <w:lang w:eastAsia="zh-CN"/>
        </w:rPr>
        <w:tab/>
      </w:r>
      <w:r>
        <w:rPr>
          <w:rFonts w:hint="eastAsia" w:ascii="Times New Roman" w:hAnsi="Times New Roman" w:eastAsia="Times New Roman" w:cs="Times New Roman"/>
          <w:color w:val="auto"/>
          <w:kern w:val="0"/>
          <w:sz w:val="24"/>
          <w:szCs w:val="24"/>
          <w:lang w:eastAsia="zh-CN"/>
        </w:rPr>
        <w:t>C．②③</w:t>
      </w:r>
      <w:r>
        <w:rPr>
          <w:rFonts w:hint="eastAsia" w:ascii="Times New Roman" w:hAnsi="Times New Roman" w:eastAsia="Times New Roman" w:cs="Times New Roman"/>
          <w:color w:val="auto"/>
          <w:kern w:val="0"/>
          <w:sz w:val="24"/>
          <w:szCs w:val="24"/>
          <w:lang w:eastAsia="zh-CN"/>
        </w:rPr>
        <w:tab/>
      </w:r>
      <w:r>
        <w:rPr>
          <w:rFonts w:hint="eastAsia" w:ascii="Times New Roman" w:hAnsi="Times New Roman" w:eastAsia="Times New Roman" w:cs="Times New Roman"/>
          <w:color w:val="auto"/>
          <w:kern w:val="0"/>
          <w:sz w:val="24"/>
          <w:szCs w:val="24"/>
          <w:lang w:eastAsia="zh-CN"/>
        </w:rPr>
        <w:t>D．②④</w:t>
      </w:r>
    </w:p>
    <w:p w14:paraId="21B7D7F6">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cs="Times New Roman"/>
          <w:color w:val="auto"/>
          <w:kern w:val="0"/>
          <w:sz w:val="24"/>
          <w:szCs w:val="24"/>
          <w:lang w:val="en-US" w:eastAsia="zh-CN"/>
        </w:rPr>
        <w:t>18</w:t>
      </w:r>
      <w:r>
        <w:rPr>
          <w:rFonts w:hint="eastAsia" w:ascii="Times New Roman" w:hAnsi="Times New Roman" w:eastAsia="Times New Roman" w:cs="Times New Roman"/>
          <w:color w:val="auto"/>
          <w:kern w:val="0"/>
          <w:sz w:val="24"/>
          <w:szCs w:val="24"/>
          <w:lang w:eastAsia="zh-CN"/>
        </w:rPr>
        <w:t>．“云上认养——认养一块属于你的土地，开启向往的生活！”李某在看到“云认养”宣传语后找到该商家，花费3888元购买了一年一亩地的“认养卡”，可通过24小时视频监控查看农田画面，随时与农场管家在线沟通需求。在认养过程中，她收到了农场邮寄的稻米、玉米等农产品。据此，下列说法正确的是（ </w:t>
      </w:r>
      <w:r>
        <w:rPr>
          <w:rFonts w:hint="eastAsia" w:cs="Times New Roman"/>
          <w:color w:val="auto"/>
          <w:kern w:val="0"/>
          <w:sz w:val="24"/>
          <w:szCs w:val="24"/>
          <w:lang w:val="en-US" w:eastAsia="zh-CN"/>
        </w:rPr>
        <w:t xml:space="preserve">  </w:t>
      </w:r>
      <w:r>
        <w:rPr>
          <w:rFonts w:hint="eastAsia" w:ascii="Times New Roman" w:hAnsi="Times New Roman" w:eastAsia="Times New Roman" w:cs="Times New Roman"/>
          <w:color w:val="auto"/>
          <w:kern w:val="0"/>
          <w:sz w:val="24"/>
          <w:szCs w:val="24"/>
          <w:lang w:eastAsia="zh-CN"/>
        </w:rPr>
        <w:t>  ）</w:t>
      </w:r>
    </w:p>
    <w:p w14:paraId="7265A301">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①“云认养”宣传属于广告要约情形，具有法律约束力</w:t>
      </w:r>
    </w:p>
    <w:p w14:paraId="5A174868">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②李某认养这一亩土地后，享有这一亩土地的承包权</w:t>
      </w:r>
    </w:p>
    <w:p w14:paraId="17623DEE">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③李某认养这一亩土地期间，享有该土地的用益物权</w:t>
      </w:r>
    </w:p>
    <w:p w14:paraId="460347CF">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④若合同期内因洪水毁坏认养作物，商家可部分免责</w:t>
      </w:r>
    </w:p>
    <w:p w14:paraId="46DB1B85">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A．①②</w:t>
      </w:r>
      <w:r>
        <w:rPr>
          <w:rFonts w:hint="eastAsia" w:ascii="Times New Roman" w:hAnsi="Times New Roman" w:eastAsia="Times New Roman" w:cs="Times New Roman"/>
          <w:color w:val="auto"/>
          <w:kern w:val="0"/>
          <w:sz w:val="24"/>
          <w:szCs w:val="24"/>
          <w:lang w:eastAsia="zh-CN"/>
        </w:rPr>
        <w:tab/>
      </w:r>
      <w:r>
        <w:rPr>
          <w:rFonts w:hint="eastAsia" w:ascii="Times New Roman" w:hAnsi="Times New Roman" w:eastAsia="Times New Roman" w:cs="Times New Roman"/>
          <w:color w:val="auto"/>
          <w:kern w:val="0"/>
          <w:sz w:val="24"/>
          <w:szCs w:val="24"/>
          <w:lang w:eastAsia="zh-CN"/>
        </w:rPr>
        <w:t>B．①③</w:t>
      </w:r>
      <w:r>
        <w:rPr>
          <w:rFonts w:hint="eastAsia" w:ascii="Times New Roman" w:hAnsi="Times New Roman" w:eastAsia="Times New Roman" w:cs="Times New Roman"/>
          <w:color w:val="auto"/>
          <w:kern w:val="0"/>
          <w:sz w:val="24"/>
          <w:szCs w:val="24"/>
          <w:lang w:eastAsia="zh-CN"/>
        </w:rPr>
        <w:tab/>
      </w:r>
      <w:r>
        <w:rPr>
          <w:rFonts w:hint="eastAsia" w:ascii="Times New Roman" w:hAnsi="Times New Roman" w:eastAsia="Times New Roman" w:cs="Times New Roman"/>
          <w:color w:val="auto"/>
          <w:kern w:val="0"/>
          <w:sz w:val="24"/>
          <w:szCs w:val="24"/>
          <w:lang w:eastAsia="zh-CN"/>
        </w:rPr>
        <w:t>C．②④</w:t>
      </w:r>
      <w:r>
        <w:rPr>
          <w:rFonts w:hint="eastAsia" w:ascii="Times New Roman" w:hAnsi="Times New Roman" w:eastAsia="Times New Roman" w:cs="Times New Roman"/>
          <w:color w:val="auto"/>
          <w:kern w:val="0"/>
          <w:sz w:val="24"/>
          <w:szCs w:val="24"/>
          <w:lang w:eastAsia="zh-CN"/>
        </w:rPr>
        <w:tab/>
      </w:r>
      <w:r>
        <w:rPr>
          <w:rFonts w:hint="eastAsia" w:ascii="Times New Roman" w:hAnsi="Times New Roman" w:eastAsia="Times New Roman" w:cs="Times New Roman"/>
          <w:color w:val="auto"/>
          <w:kern w:val="0"/>
          <w:sz w:val="24"/>
          <w:szCs w:val="24"/>
          <w:lang w:eastAsia="zh-CN"/>
        </w:rPr>
        <w:t>D．③④</w:t>
      </w:r>
    </w:p>
    <w:p w14:paraId="2BC9BCF3">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cs="Times New Roman"/>
          <w:color w:val="auto"/>
          <w:kern w:val="0"/>
          <w:sz w:val="24"/>
          <w:szCs w:val="24"/>
          <w:lang w:val="en-US" w:eastAsia="zh-CN"/>
        </w:rPr>
        <w:t>19</w:t>
      </w:r>
      <w:r>
        <w:rPr>
          <w:rFonts w:hint="eastAsia" w:ascii="Times New Roman" w:hAnsi="Times New Roman" w:eastAsia="Times New Roman" w:cs="Times New Roman"/>
          <w:color w:val="auto"/>
          <w:kern w:val="0"/>
          <w:sz w:val="24"/>
          <w:szCs w:val="24"/>
          <w:lang w:eastAsia="zh-CN"/>
        </w:rPr>
        <w:t>．胡某在韩某的网店购买了一款手提包，页面明显提示不支持七日无理由退货。胡某收到货后不满，当即申请无理由退货，遭到拒绝。于是胡某在网上发布悬赏广告，主要内容为：现向广大知情人士收集韩某店铺违法犯罪线索，经有关部门查证属实后，将给予报酬。下列判断正确的是（  </w:t>
      </w:r>
      <w:r>
        <w:rPr>
          <w:rFonts w:hint="eastAsia" w:cs="Times New Roman"/>
          <w:color w:val="auto"/>
          <w:kern w:val="0"/>
          <w:sz w:val="24"/>
          <w:szCs w:val="24"/>
          <w:lang w:val="en-US" w:eastAsia="zh-CN"/>
        </w:rPr>
        <w:t xml:space="preserve">  </w:t>
      </w:r>
      <w:r>
        <w:rPr>
          <w:rFonts w:hint="eastAsia" w:ascii="Times New Roman" w:hAnsi="Times New Roman" w:eastAsia="Times New Roman" w:cs="Times New Roman"/>
          <w:color w:val="auto"/>
          <w:kern w:val="0"/>
          <w:sz w:val="24"/>
          <w:szCs w:val="24"/>
          <w:lang w:eastAsia="zh-CN"/>
        </w:rPr>
        <w:t> ）</w:t>
      </w:r>
    </w:p>
    <w:p w14:paraId="18B7D06B">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①因页面有明显提示，韩某拒绝退货行为符合合同约定应给予支持</w:t>
      </w:r>
    </w:p>
    <w:p w14:paraId="74DD7492">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②若不能提供不适用七日无理由退货的合法依据，韩某应同意退货</w:t>
      </w:r>
    </w:p>
    <w:p w14:paraId="6766B221">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③胡某发布的悬赏广告易使他人发生误解，可能侵犯韩某店铺人格权</w:t>
      </w:r>
    </w:p>
    <w:p w14:paraId="48E04225">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④如果胡某运用他人提供的线索曝光韩某是维护公共利益的正当行为</w:t>
      </w:r>
    </w:p>
    <w:p w14:paraId="19FC95ED">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A．①②</w:t>
      </w:r>
      <w:r>
        <w:rPr>
          <w:rFonts w:hint="eastAsia" w:ascii="Times New Roman" w:hAnsi="Times New Roman" w:eastAsia="Times New Roman" w:cs="Times New Roman"/>
          <w:color w:val="auto"/>
          <w:kern w:val="0"/>
          <w:sz w:val="24"/>
          <w:szCs w:val="24"/>
          <w:lang w:eastAsia="zh-CN"/>
        </w:rPr>
        <w:tab/>
      </w:r>
      <w:r>
        <w:rPr>
          <w:rFonts w:hint="eastAsia" w:ascii="Times New Roman" w:hAnsi="Times New Roman" w:eastAsia="Times New Roman" w:cs="Times New Roman"/>
          <w:color w:val="auto"/>
          <w:kern w:val="0"/>
          <w:sz w:val="24"/>
          <w:szCs w:val="24"/>
          <w:lang w:eastAsia="zh-CN"/>
        </w:rPr>
        <w:t>B．①④</w:t>
      </w:r>
      <w:r>
        <w:rPr>
          <w:rFonts w:hint="eastAsia" w:ascii="Times New Roman" w:hAnsi="Times New Roman" w:eastAsia="Times New Roman" w:cs="Times New Roman"/>
          <w:color w:val="auto"/>
          <w:kern w:val="0"/>
          <w:sz w:val="24"/>
          <w:szCs w:val="24"/>
          <w:lang w:eastAsia="zh-CN"/>
        </w:rPr>
        <w:tab/>
      </w:r>
      <w:r>
        <w:rPr>
          <w:rFonts w:hint="eastAsia" w:ascii="Times New Roman" w:hAnsi="Times New Roman" w:eastAsia="Times New Roman" w:cs="Times New Roman"/>
          <w:color w:val="auto"/>
          <w:kern w:val="0"/>
          <w:sz w:val="24"/>
          <w:szCs w:val="24"/>
          <w:lang w:eastAsia="zh-CN"/>
        </w:rPr>
        <w:t>C．②③</w:t>
      </w:r>
      <w:r>
        <w:rPr>
          <w:rFonts w:hint="eastAsia" w:ascii="Times New Roman" w:hAnsi="Times New Roman" w:eastAsia="Times New Roman" w:cs="Times New Roman"/>
          <w:color w:val="auto"/>
          <w:kern w:val="0"/>
          <w:sz w:val="24"/>
          <w:szCs w:val="24"/>
          <w:lang w:eastAsia="zh-CN"/>
        </w:rPr>
        <w:tab/>
      </w:r>
      <w:r>
        <w:rPr>
          <w:rFonts w:hint="eastAsia" w:ascii="Times New Roman" w:hAnsi="Times New Roman" w:eastAsia="Times New Roman" w:cs="Times New Roman"/>
          <w:color w:val="auto"/>
          <w:kern w:val="0"/>
          <w:sz w:val="24"/>
          <w:szCs w:val="24"/>
          <w:lang w:eastAsia="zh-CN"/>
        </w:rPr>
        <w:t>D．③④</w:t>
      </w:r>
    </w:p>
    <w:p w14:paraId="1F66C796">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cs="Times New Roman"/>
          <w:color w:val="auto"/>
          <w:kern w:val="0"/>
          <w:sz w:val="24"/>
          <w:szCs w:val="24"/>
          <w:lang w:val="en-US" w:eastAsia="zh-CN"/>
        </w:rPr>
        <w:t>20</w:t>
      </w:r>
      <w:r>
        <w:rPr>
          <w:rFonts w:hint="eastAsia" w:ascii="Times New Roman" w:hAnsi="Times New Roman" w:eastAsia="Times New Roman" w:cs="Times New Roman"/>
          <w:color w:val="auto"/>
          <w:kern w:val="0"/>
          <w:sz w:val="24"/>
          <w:szCs w:val="24"/>
          <w:lang w:eastAsia="zh-CN"/>
        </w:rPr>
        <w:t>．随着互联网信息技术的发展和物流运输效率的提高，网购成为许多人的选择。然而，网购在给人们带来便捷的同时，也产生了很多问题。下列关于网购的案例分析正确的是（ </w:t>
      </w:r>
      <w:r>
        <w:rPr>
          <w:rFonts w:hint="eastAsia" w:cs="Times New Roman"/>
          <w:color w:val="auto"/>
          <w:kern w:val="0"/>
          <w:sz w:val="24"/>
          <w:szCs w:val="24"/>
          <w:lang w:val="en-US" w:eastAsia="zh-CN"/>
        </w:rPr>
        <w:t xml:space="preserve"> </w:t>
      </w:r>
      <w:r>
        <w:rPr>
          <w:rFonts w:hint="eastAsia" w:ascii="Times New Roman" w:hAnsi="Times New Roman" w:eastAsia="Times New Roman" w:cs="Times New Roman"/>
          <w:color w:val="auto"/>
          <w:kern w:val="0"/>
          <w:sz w:val="24"/>
          <w:szCs w:val="24"/>
          <w:lang w:eastAsia="zh-CN"/>
        </w:rPr>
        <w:t>  ）</w:t>
      </w:r>
    </w:p>
    <w:p w14:paraId="38088059">
      <w:pPr>
        <w:widowControl/>
        <w:jc w:val="both"/>
        <w:textAlignment w:val="center"/>
        <w:rPr>
          <w:rFonts w:hint="default" w:ascii="Times New Roman" w:hAnsi="Times New Roman" w:eastAsia="Times New Roman" w:cs="Times New Roman"/>
          <w:color w:val="auto"/>
          <w:kern w:val="0"/>
          <w:sz w:val="24"/>
          <w:szCs w:val="24"/>
          <w:lang w:val="en-US" w:eastAsia="zh-CN"/>
        </w:rPr>
      </w:pPr>
      <w:r>
        <w:rPr>
          <w:rFonts w:hint="eastAsia" w:ascii="Times New Roman" w:hAnsi="Times New Roman" w:eastAsia="Times New Roman" w:cs="Times New Roman"/>
          <w:color w:val="auto"/>
          <w:kern w:val="0"/>
          <w:sz w:val="24"/>
          <w:szCs w:val="24"/>
          <w:lang w:eastAsia="zh-CN"/>
        </w:rPr>
        <w:t>①小王在直播间看中某产品并且提交了购买订单，若未付款，则合同不</w:t>
      </w:r>
      <w:r>
        <w:rPr>
          <w:rFonts w:hint="eastAsia" w:cs="Times New Roman"/>
          <w:color w:val="auto"/>
          <w:kern w:val="0"/>
          <w:sz w:val="24"/>
          <w:szCs w:val="24"/>
          <w:lang w:eastAsia="zh-CN"/>
        </w:rPr>
        <w:t>成立</w:t>
      </w:r>
    </w:p>
    <w:p w14:paraId="1321887C">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②某购物平台在商品详情页中宣称某产品能包治百病，属于不正当竞争行为</w:t>
      </w:r>
    </w:p>
    <w:p w14:paraId="5F60C6EF">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③某网购平台以秒杀方式低于市场价出售产品，不一定违背了公平竞争原则</w:t>
      </w:r>
    </w:p>
    <w:p w14:paraId="24A155EF">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④某电商平台“德芙巧克力，99元3盒，活动仅限今日”的促销属于要约邀请</w:t>
      </w:r>
    </w:p>
    <w:p w14:paraId="45BC7D21">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A．①③</w:t>
      </w:r>
      <w:r>
        <w:rPr>
          <w:rFonts w:hint="eastAsia" w:ascii="Times New Roman" w:hAnsi="Times New Roman" w:eastAsia="Times New Roman" w:cs="Times New Roman"/>
          <w:color w:val="auto"/>
          <w:kern w:val="0"/>
          <w:sz w:val="24"/>
          <w:szCs w:val="24"/>
          <w:lang w:eastAsia="zh-CN"/>
        </w:rPr>
        <w:tab/>
      </w:r>
      <w:r>
        <w:rPr>
          <w:rFonts w:hint="eastAsia" w:ascii="Times New Roman" w:hAnsi="Times New Roman" w:eastAsia="Times New Roman" w:cs="Times New Roman"/>
          <w:color w:val="auto"/>
          <w:kern w:val="0"/>
          <w:sz w:val="24"/>
          <w:szCs w:val="24"/>
          <w:lang w:eastAsia="zh-CN"/>
        </w:rPr>
        <w:t>B．①④</w:t>
      </w:r>
      <w:r>
        <w:rPr>
          <w:rFonts w:hint="eastAsia" w:ascii="Times New Roman" w:hAnsi="Times New Roman" w:eastAsia="Times New Roman" w:cs="Times New Roman"/>
          <w:color w:val="auto"/>
          <w:kern w:val="0"/>
          <w:sz w:val="24"/>
          <w:szCs w:val="24"/>
          <w:lang w:eastAsia="zh-CN"/>
        </w:rPr>
        <w:tab/>
      </w:r>
      <w:r>
        <w:rPr>
          <w:rFonts w:hint="eastAsia" w:ascii="Times New Roman" w:hAnsi="Times New Roman" w:eastAsia="Times New Roman" w:cs="Times New Roman"/>
          <w:color w:val="auto"/>
          <w:kern w:val="0"/>
          <w:sz w:val="24"/>
          <w:szCs w:val="24"/>
          <w:lang w:eastAsia="zh-CN"/>
        </w:rPr>
        <w:t>C．②③</w:t>
      </w:r>
      <w:r>
        <w:rPr>
          <w:rFonts w:hint="eastAsia" w:ascii="Times New Roman" w:hAnsi="Times New Roman" w:eastAsia="Times New Roman" w:cs="Times New Roman"/>
          <w:color w:val="auto"/>
          <w:kern w:val="0"/>
          <w:sz w:val="24"/>
          <w:szCs w:val="24"/>
          <w:lang w:eastAsia="zh-CN"/>
        </w:rPr>
        <w:tab/>
      </w:r>
      <w:r>
        <w:rPr>
          <w:rFonts w:hint="eastAsia" w:ascii="Times New Roman" w:hAnsi="Times New Roman" w:eastAsia="Times New Roman" w:cs="Times New Roman"/>
          <w:color w:val="auto"/>
          <w:kern w:val="0"/>
          <w:sz w:val="24"/>
          <w:szCs w:val="24"/>
          <w:lang w:eastAsia="zh-CN"/>
        </w:rPr>
        <w:t>D．②④</w:t>
      </w:r>
    </w:p>
    <w:p w14:paraId="2C6E727D">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cs="Times New Roman"/>
          <w:color w:val="auto"/>
          <w:kern w:val="0"/>
          <w:sz w:val="24"/>
          <w:szCs w:val="24"/>
          <w:lang w:val="en-US" w:eastAsia="zh-CN"/>
        </w:rPr>
        <w:t>21</w:t>
      </w:r>
      <w:r>
        <w:rPr>
          <w:rFonts w:hint="eastAsia" w:ascii="Times New Roman" w:hAnsi="Times New Roman" w:eastAsia="Times New Roman" w:cs="Times New Roman"/>
          <w:color w:val="auto"/>
          <w:kern w:val="0"/>
          <w:sz w:val="24"/>
          <w:szCs w:val="24"/>
          <w:lang w:val="en-US" w:eastAsia="zh-CN"/>
        </w:rPr>
        <w:t>.</w:t>
      </w:r>
      <w:r>
        <w:rPr>
          <w:rFonts w:hint="eastAsia" w:ascii="Times New Roman" w:hAnsi="Times New Roman" w:eastAsia="Times New Roman" w:cs="Times New Roman"/>
          <w:color w:val="auto"/>
          <w:kern w:val="0"/>
          <w:sz w:val="24"/>
          <w:szCs w:val="24"/>
          <w:lang w:eastAsia="zh-CN"/>
        </w:rPr>
        <w:t>甲公司向乙公司购买5台设备，约定违约金4万元和交货日期。乙公司在运输途中遇大雨损毁2台设备（8万元），导致延迟交货。甲公司使用该批设备后发现设备故障频发，造成顾客受伤，损失4万元。关于本案，下列说法正确的是（   </w:t>
      </w:r>
      <w:r>
        <w:rPr>
          <w:rFonts w:hint="eastAsia" w:cs="Times New Roman"/>
          <w:color w:val="auto"/>
          <w:kern w:val="0"/>
          <w:sz w:val="24"/>
          <w:szCs w:val="24"/>
          <w:lang w:val="en-US" w:eastAsia="zh-CN"/>
        </w:rPr>
        <w:t xml:space="preserve">  </w:t>
      </w:r>
      <w:r>
        <w:rPr>
          <w:rFonts w:hint="eastAsia" w:ascii="Times New Roman" w:hAnsi="Times New Roman" w:eastAsia="Times New Roman" w:cs="Times New Roman"/>
          <w:color w:val="auto"/>
          <w:kern w:val="0"/>
          <w:sz w:val="24"/>
          <w:szCs w:val="24"/>
          <w:lang w:eastAsia="zh-CN"/>
        </w:rPr>
        <w:t>）</w:t>
      </w:r>
    </w:p>
    <w:p w14:paraId="0659E1F5">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①乙公司因不可抗力导致延迟交货，可以免除其违约责任</w:t>
      </w:r>
    </w:p>
    <w:p w14:paraId="73F7FE00">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②乙公司应支付违约金且承担在运输途中损毁设备的损失</w:t>
      </w:r>
    </w:p>
    <w:p w14:paraId="52D3CAD3">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③乙公司应自行承担在运输途中遇雨损毁的2台设备的损失</w:t>
      </w:r>
    </w:p>
    <w:p w14:paraId="15C02D9A">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④乙公司要对因使用该批设备而受伤的顾客采取补救措施进行赔偿</w:t>
      </w:r>
    </w:p>
    <w:p w14:paraId="2C4A34D9">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A．①②</w:t>
      </w:r>
      <w:r>
        <w:rPr>
          <w:rFonts w:hint="eastAsia" w:ascii="Times New Roman" w:hAnsi="Times New Roman" w:eastAsia="Times New Roman" w:cs="Times New Roman"/>
          <w:color w:val="auto"/>
          <w:kern w:val="0"/>
          <w:sz w:val="24"/>
          <w:szCs w:val="24"/>
          <w:lang w:eastAsia="zh-CN"/>
        </w:rPr>
        <w:tab/>
      </w:r>
      <w:r>
        <w:rPr>
          <w:rFonts w:hint="eastAsia" w:ascii="Times New Roman" w:hAnsi="Times New Roman" w:eastAsia="Times New Roman" w:cs="Times New Roman"/>
          <w:color w:val="auto"/>
          <w:kern w:val="0"/>
          <w:sz w:val="24"/>
          <w:szCs w:val="24"/>
          <w:lang w:eastAsia="zh-CN"/>
        </w:rPr>
        <w:t>B．②③</w:t>
      </w:r>
      <w:r>
        <w:rPr>
          <w:rFonts w:hint="eastAsia" w:ascii="Times New Roman" w:hAnsi="Times New Roman" w:eastAsia="Times New Roman" w:cs="Times New Roman"/>
          <w:color w:val="auto"/>
          <w:kern w:val="0"/>
          <w:sz w:val="24"/>
          <w:szCs w:val="24"/>
          <w:lang w:eastAsia="zh-CN"/>
        </w:rPr>
        <w:tab/>
      </w:r>
      <w:r>
        <w:rPr>
          <w:rFonts w:hint="eastAsia" w:ascii="Times New Roman" w:hAnsi="Times New Roman" w:eastAsia="Times New Roman" w:cs="Times New Roman"/>
          <w:color w:val="auto"/>
          <w:kern w:val="0"/>
          <w:sz w:val="24"/>
          <w:szCs w:val="24"/>
          <w:lang w:eastAsia="zh-CN"/>
        </w:rPr>
        <w:t>C．①④</w:t>
      </w:r>
      <w:r>
        <w:rPr>
          <w:rFonts w:hint="eastAsia" w:ascii="Times New Roman" w:hAnsi="Times New Roman" w:eastAsia="Times New Roman" w:cs="Times New Roman"/>
          <w:color w:val="auto"/>
          <w:kern w:val="0"/>
          <w:sz w:val="24"/>
          <w:szCs w:val="24"/>
          <w:lang w:eastAsia="zh-CN"/>
        </w:rPr>
        <w:tab/>
      </w:r>
      <w:r>
        <w:rPr>
          <w:rFonts w:hint="eastAsia" w:ascii="Times New Roman" w:hAnsi="Times New Roman" w:eastAsia="Times New Roman" w:cs="Times New Roman"/>
          <w:color w:val="auto"/>
          <w:kern w:val="0"/>
          <w:sz w:val="24"/>
          <w:szCs w:val="24"/>
          <w:lang w:eastAsia="zh-CN"/>
        </w:rPr>
        <w:t>D．③④</w:t>
      </w:r>
    </w:p>
    <w:p w14:paraId="13552238">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cs="Times New Roman"/>
          <w:color w:val="auto"/>
          <w:kern w:val="0"/>
          <w:sz w:val="24"/>
          <w:szCs w:val="24"/>
          <w:lang w:val="en-US" w:eastAsia="zh-CN"/>
        </w:rPr>
        <w:t>22</w:t>
      </w:r>
      <w:r>
        <w:rPr>
          <w:rFonts w:hint="eastAsia" w:ascii="Times New Roman" w:hAnsi="Times New Roman" w:eastAsia="Times New Roman" w:cs="Times New Roman"/>
          <w:color w:val="auto"/>
          <w:kern w:val="0"/>
          <w:sz w:val="24"/>
          <w:szCs w:val="24"/>
          <w:lang w:eastAsia="zh-CN"/>
        </w:rPr>
        <w:t>．在地铁站上下电梯的时候，常常会听到广播里循环播放：“请您站稳扶好，不要看手机，不要倚靠电扶梯……”在此情形中（</w:t>
      </w:r>
      <w:r>
        <w:rPr>
          <w:rFonts w:hint="eastAsia" w:cs="Times New Roman"/>
          <w:color w:val="auto"/>
          <w:kern w:val="0"/>
          <w:sz w:val="24"/>
          <w:szCs w:val="24"/>
          <w:lang w:val="en-US" w:eastAsia="zh-CN"/>
        </w:rPr>
        <w:t xml:space="preserve"> </w:t>
      </w:r>
      <w:r>
        <w:rPr>
          <w:rFonts w:hint="eastAsia" w:ascii="Times New Roman" w:hAnsi="Times New Roman" w:eastAsia="Times New Roman" w:cs="Times New Roman"/>
          <w:color w:val="auto"/>
          <w:kern w:val="0"/>
          <w:sz w:val="24"/>
          <w:szCs w:val="24"/>
          <w:lang w:eastAsia="zh-CN"/>
        </w:rPr>
        <w:t>   ）</w:t>
      </w:r>
    </w:p>
    <w:p w14:paraId="28A2216A">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①乘客作为自身安全的第一责任人，应自觉遵守公共场所的安全规定，履行对自身安全的注意义务</w:t>
      </w:r>
    </w:p>
    <w:p w14:paraId="01F132E0">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②地铁运营设施管理人履行的安全保障义务是一种不可免除的法定义务</w:t>
      </w:r>
    </w:p>
    <w:p w14:paraId="25B5301D">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③如果乘客在乘梯过程中看手机没有站稳而摔倒，地铁公司亦须承担无过错责任</w:t>
      </w:r>
    </w:p>
    <w:p w14:paraId="3F40A32E">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④地铁公司履行了提醒的义务，若乘客自己不慎摔倒，地铁公司不再需要履行及时救助或协助的义务</w:t>
      </w:r>
    </w:p>
    <w:p w14:paraId="2EB72457">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A．①②</w:t>
      </w:r>
      <w:r>
        <w:rPr>
          <w:rFonts w:hint="eastAsia" w:ascii="Times New Roman" w:hAnsi="Times New Roman" w:eastAsia="Times New Roman" w:cs="Times New Roman"/>
          <w:color w:val="auto"/>
          <w:kern w:val="0"/>
          <w:sz w:val="24"/>
          <w:szCs w:val="24"/>
          <w:lang w:eastAsia="zh-CN"/>
        </w:rPr>
        <w:tab/>
      </w:r>
      <w:r>
        <w:rPr>
          <w:rFonts w:hint="eastAsia" w:ascii="Times New Roman" w:hAnsi="Times New Roman" w:eastAsia="Times New Roman" w:cs="Times New Roman"/>
          <w:color w:val="auto"/>
          <w:kern w:val="0"/>
          <w:sz w:val="24"/>
          <w:szCs w:val="24"/>
          <w:lang w:eastAsia="zh-CN"/>
        </w:rPr>
        <w:t>B．①③</w:t>
      </w:r>
      <w:r>
        <w:rPr>
          <w:rFonts w:hint="eastAsia" w:ascii="Times New Roman" w:hAnsi="Times New Roman" w:eastAsia="Times New Roman" w:cs="Times New Roman"/>
          <w:color w:val="auto"/>
          <w:kern w:val="0"/>
          <w:sz w:val="24"/>
          <w:szCs w:val="24"/>
          <w:lang w:eastAsia="zh-CN"/>
        </w:rPr>
        <w:tab/>
      </w:r>
      <w:r>
        <w:rPr>
          <w:rFonts w:hint="eastAsia" w:ascii="Times New Roman" w:hAnsi="Times New Roman" w:eastAsia="Times New Roman" w:cs="Times New Roman"/>
          <w:color w:val="auto"/>
          <w:kern w:val="0"/>
          <w:sz w:val="24"/>
          <w:szCs w:val="24"/>
          <w:lang w:eastAsia="zh-CN"/>
        </w:rPr>
        <w:t>C．②④</w:t>
      </w:r>
      <w:r>
        <w:rPr>
          <w:rFonts w:hint="eastAsia" w:ascii="Times New Roman" w:hAnsi="Times New Roman" w:eastAsia="Times New Roman" w:cs="Times New Roman"/>
          <w:color w:val="auto"/>
          <w:kern w:val="0"/>
          <w:sz w:val="24"/>
          <w:szCs w:val="24"/>
          <w:lang w:eastAsia="zh-CN"/>
        </w:rPr>
        <w:tab/>
      </w:r>
      <w:r>
        <w:rPr>
          <w:rFonts w:hint="eastAsia" w:ascii="Times New Roman" w:hAnsi="Times New Roman" w:eastAsia="Times New Roman" w:cs="Times New Roman"/>
          <w:color w:val="auto"/>
          <w:kern w:val="0"/>
          <w:sz w:val="24"/>
          <w:szCs w:val="24"/>
          <w:lang w:eastAsia="zh-CN"/>
        </w:rPr>
        <w:t>D．③④</w:t>
      </w:r>
    </w:p>
    <w:p w14:paraId="655AB22C">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cs="Times New Roman"/>
          <w:color w:val="auto"/>
          <w:kern w:val="0"/>
          <w:sz w:val="24"/>
          <w:szCs w:val="24"/>
          <w:lang w:val="en-US" w:eastAsia="zh-CN"/>
        </w:rPr>
        <w:t>23</w:t>
      </w:r>
      <w:r>
        <w:rPr>
          <w:rFonts w:hint="eastAsia" w:ascii="Times New Roman" w:hAnsi="Times New Roman" w:eastAsia="Times New Roman" w:cs="Times New Roman"/>
          <w:color w:val="auto"/>
          <w:kern w:val="0"/>
          <w:sz w:val="24"/>
          <w:szCs w:val="24"/>
          <w:lang w:val="en-US" w:eastAsia="zh-CN"/>
        </w:rPr>
        <w:t>.</w:t>
      </w:r>
      <w:r>
        <w:rPr>
          <w:rFonts w:hint="eastAsia" w:ascii="Times New Roman" w:hAnsi="Times New Roman" w:eastAsia="Times New Roman" w:cs="Times New Roman"/>
          <w:color w:val="auto"/>
          <w:kern w:val="0"/>
          <w:sz w:val="24"/>
          <w:szCs w:val="24"/>
          <w:lang w:eastAsia="zh-CN"/>
        </w:rPr>
        <w:t>《人工智能生成合成内容标识办法》于2025年9月起施行。《办法》聚焦人工智能</w:t>
      </w:r>
      <w:r>
        <w:rPr>
          <w:rFonts w:hint="eastAsia" w:cs="Times New Roman"/>
          <w:color w:val="auto"/>
          <w:kern w:val="0"/>
          <w:sz w:val="24"/>
          <w:szCs w:val="24"/>
          <w:lang w:eastAsia="zh-CN"/>
        </w:rPr>
        <w:t>“</w:t>
      </w:r>
      <w:r>
        <w:rPr>
          <w:rFonts w:hint="eastAsia" w:ascii="Times New Roman" w:hAnsi="Times New Roman" w:eastAsia="Times New Roman" w:cs="Times New Roman"/>
          <w:color w:val="auto"/>
          <w:kern w:val="0"/>
          <w:sz w:val="24"/>
          <w:szCs w:val="24"/>
          <w:lang w:eastAsia="zh-CN"/>
        </w:rPr>
        <w:t>生成合成内容标识</w:t>
      </w:r>
      <w:r>
        <w:rPr>
          <w:rFonts w:hint="eastAsia" w:cs="Times New Roman"/>
          <w:color w:val="auto"/>
          <w:kern w:val="0"/>
          <w:sz w:val="24"/>
          <w:szCs w:val="24"/>
          <w:lang w:eastAsia="zh-CN"/>
        </w:rPr>
        <w:t>”</w:t>
      </w:r>
      <w:r>
        <w:rPr>
          <w:rFonts w:hint="eastAsia" w:ascii="Times New Roman" w:hAnsi="Times New Roman" w:eastAsia="Times New Roman" w:cs="Times New Roman"/>
          <w:color w:val="auto"/>
          <w:kern w:val="0"/>
          <w:sz w:val="24"/>
          <w:szCs w:val="24"/>
          <w:lang w:eastAsia="zh-CN"/>
        </w:rPr>
        <w:t>关键点，通过标识提醒用户辨别虚假信息，明确相关服务主体的标识责任义务，规范内容操作、传播各环节标识行为。简单来说，就是给人工智能生成合成内容</w:t>
      </w:r>
      <w:r>
        <w:rPr>
          <w:rFonts w:hint="eastAsia" w:cs="Times New Roman"/>
          <w:color w:val="auto"/>
          <w:kern w:val="0"/>
          <w:sz w:val="24"/>
          <w:szCs w:val="24"/>
          <w:lang w:eastAsia="zh-CN"/>
        </w:rPr>
        <w:t>“</w:t>
      </w:r>
      <w:r>
        <w:rPr>
          <w:rFonts w:hint="eastAsia" w:ascii="Times New Roman" w:hAnsi="Times New Roman" w:eastAsia="Times New Roman" w:cs="Times New Roman"/>
          <w:color w:val="auto"/>
          <w:kern w:val="0"/>
          <w:sz w:val="24"/>
          <w:szCs w:val="24"/>
          <w:lang w:eastAsia="zh-CN"/>
        </w:rPr>
        <w:t>打水印</w:t>
      </w:r>
      <w:r>
        <w:rPr>
          <w:rFonts w:hint="eastAsia" w:cs="Times New Roman"/>
          <w:color w:val="auto"/>
          <w:kern w:val="0"/>
          <w:sz w:val="24"/>
          <w:szCs w:val="24"/>
          <w:lang w:eastAsia="zh-CN"/>
        </w:rPr>
        <w:t>”</w:t>
      </w:r>
      <w:r>
        <w:rPr>
          <w:rFonts w:hint="eastAsia" w:ascii="Times New Roman" w:hAnsi="Times New Roman" w:eastAsia="Times New Roman" w:cs="Times New Roman"/>
          <w:color w:val="auto"/>
          <w:kern w:val="0"/>
          <w:sz w:val="24"/>
          <w:szCs w:val="24"/>
          <w:lang w:eastAsia="zh-CN"/>
        </w:rPr>
        <w:t>，让人能够有效区分是否为</w:t>
      </w:r>
      <w:r>
        <w:rPr>
          <w:rFonts w:hint="eastAsia" w:cs="Times New Roman"/>
          <w:color w:val="auto"/>
          <w:kern w:val="0"/>
          <w:sz w:val="24"/>
          <w:szCs w:val="24"/>
          <w:lang w:eastAsia="zh-CN"/>
        </w:rPr>
        <w:t>“</w:t>
      </w:r>
      <w:r>
        <w:rPr>
          <w:rFonts w:hint="eastAsia" w:ascii="Times New Roman" w:hAnsi="Times New Roman" w:eastAsia="Times New Roman" w:cs="Times New Roman"/>
          <w:color w:val="auto"/>
          <w:kern w:val="0"/>
          <w:sz w:val="24"/>
          <w:szCs w:val="24"/>
          <w:lang w:eastAsia="zh-CN"/>
        </w:rPr>
        <w:t>人工智能生成合成内容</w:t>
      </w:r>
      <w:r>
        <w:rPr>
          <w:rFonts w:hint="eastAsia" w:cs="Times New Roman"/>
          <w:color w:val="auto"/>
          <w:kern w:val="0"/>
          <w:sz w:val="24"/>
          <w:szCs w:val="24"/>
          <w:lang w:eastAsia="zh-CN"/>
        </w:rPr>
        <w:t>”</w:t>
      </w:r>
      <w:r>
        <w:rPr>
          <w:rFonts w:hint="eastAsia" w:ascii="Times New Roman" w:hAnsi="Times New Roman" w:eastAsia="Times New Roman" w:cs="Times New Roman"/>
          <w:color w:val="auto"/>
          <w:kern w:val="0"/>
          <w:sz w:val="24"/>
          <w:szCs w:val="24"/>
          <w:lang w:eastAsia="zh-CN"/>
        </w:rPr>
        <w:t>。《办法》的出台有利于（   ）</w:t>
      </w:r>
    </w:p>
    <w:p w14:paraId="30809F8B">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①强化主体责任：通过明确相关服务主体的责任，促进技术开发及应用规范化</w:t>
      </w:r>
    </w:p>
    <w:p w14:paraId="45A5BBBE">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②贯彻诚信原则：通过强制标识维护信息真实性，保障公众的隐私权和财产权</w:t>
      </w:r>
    </w:p>
    <w:p w14:paraId="42AF657E">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③维护网络秩序：通过防范虚假信息的传播风险，来营造风清气正的网络环境</w:t>
      </w:r>
    </w:p>
    <w:p w14:paraId="5CE65079">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④提升内容质量：通过细化标识规则和技术标准，激发相关服务主体创作热情</w:t>
      </w:r>
    </w:p>
    <w:p w14:paraId="0DCAA6F6">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A. ①②</w:t>
      </w:r>
      <w:r>
        <w:rPr>
          <w:rFonts w:hint="eastAsia" w:ascii="Times New Roman" w:hAnsi="Times New Roman" w:eastAsia="Times New Roman" w:cs="Times New Roman"/>
          <w:color w:val="auto"/>
          <w:kern w:val="0"/>
          <w:sz w:val="24"/>
          <w:szCs w:val="24"/>
          <w:lang w:eastAsia="zh-CN"/>
        </w:rPr>
        <w:tab/>
      </w:r>
      <w:r>
        <w:rPr>
          <w:rFonts w:hint="eastAsia" w:cs="Times New Roman"/>
          <w:color w:val="auto"/>
          <w:kern w:val="0"/>
          <w:sz w:val="24"/>
          <w:szCs w:val="24"/>
          <w:lang w:val="en-US" w:eastAsia="zh-CN"/>
        </w:rPr>
        <w:t xml:space="preserve"> </w:t>
      </w:r>
      <w:r>
        <w:rPr>
          <w:rFonts w:hint="eastAsia" w:ascii="Times New Roman" w:hAnsi="Times New Roman" w:eastAsia="Times New Roman" w:cs="Times New Roman"/>
          <w:color w:val="auto"/>
          <w:kern w:val="0"/>
          <w:sz w:val="24"/>
          <w:szCs w:val="24"/>
          <w:lang w:eastAsia="zh-CN"/>
        </w:rPr>
        <w:t>B. ①③</w:t>
      </w:r>
      <w:r>
        <w:rPr>
          <w:rFonts w:hint="eastAsia" w:ascii="Times New Roman" w:hAnsi="Times New Roman" w:eastAsia="Times New Roman" w:cs="Times New Roman"/>
          <w:color w:val="auto"/>
          <w:kern w:val="0"/>
          <w:sz w:val="24"/>
          <w:szCs w:val="24"/>
          <w:lang w:eastAsia="zh-CN"/>
        </w:rPr>
        <w:tab/>
      </w:r>
      <w:r>
        <w:rPr>
          <w:rFonts w:hint="eastAsia" w:ascii="Times New Roman" w:hAnsi="Times New Roman" w:eastAsia="Times New Roman" w:cs="Times New Roman"/>
          <w:color w:val="auto"/>
          <w:kern w:val="0"/>
          <w:sz w:val="24"/>
          <w:szCs w:val="24"/>
          <w:lang w:eastAsia="zh-CN"/>
        </w:rPr>
        <w:t>C. ②④</w:t>
      </w:r>
      <w:r>
        <w:rPr>
          <w:rFonts w:hint="eastAsia" w:cs="Times New Roman"/>
          <w:color w:val="auto"/>
          <w:kern w:val="0"/>
          <w:sz w:val="24"/>
          <w:szCs w:val="24"/>
          <w:lang w:val="en-US" w:eastAsia="zh-CN"/>
        </w:rPr>
        <w:t xml:space="preserve"> </w:t>
      </w:r>
      <w:r>
        <w:rPr>
          <w:rFonts w:hint="eastAsia" w:ascii="Times New Roman" w:hAnsi="Times New Roman" w:eastAsia="Times New Roman" w:cs="Times New Roman"/>
          <w:color w:val="auto"/>
          <w:kern w:val="0"/>
          <w:sz w:val="24"/>
          <w:szCs w:val="24"/>
          <w:lang w:eastAsia="zh-CN"/>
        </w:rPr>
        <w:tab/>
      </w:r>
      <w:r>
        <w:rPr>
          <w:rFonts w:hint="eastAsia" w:ascii="Times New Roman" w:hAnsi="Times New Roman" w:eastAsia="Times New Roman" w:cs="Times New Roman"/>
          <w:color w:val="auto"/>
          <w:kern w:val="0"/>
          <w:sz w:val="24"/>
          <w:szCs w:val="24"/>
          <w:lang w:eastAsia="zh-CN"/>
        </w:rPr>
        <w:t>D. ③④</w:t>
      </w:r>
    </w:p>
    <w:p w14:paraId="222554A6">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cs="Times New Roman"/>
          <w:color w:val="auto"/>
          <w:kern w:val="0"/>
          <w:sz w:val="24"/>
          <w:szCs w:val="24"/>
          <w:lang w:val="en-US" w:eastAsia="zh-CN"/>
        </w:rPr>
        <w:t>24</w:t>
      </w:r>
      <w:r>
        <w:rPr>
          <w:rFonts w:hint="eastAsia" w:ascii="Times New Roman" w:hAnsi="Times New Roman" w:eastAsia="Times New Roman" w:cs="Times New Roman"/>
          <w:color w:val="auto"/>
          <w:kern w:val="0"/>
          <w:sz w:val="24"/>
          <w:szCs w:val="24"/>
          <w:lang w:eastAsia="zh-CN"/>
        </w:rPr>
        <w:t>．习近平总书记指出：“一个现代化国家必然是法治国家”。“法者，天下之程式也，万事之仪表也。”党的十八大以来，以习近平同志为核心的党中央明确法律是治国之重器，把全面依法治国纳入“四个全面”战略布局。树立法治意识，尊重法律规范，下列选项正确的是（</w:t>
      </w:r>
      <w:r>
        <w:rPr>
          <w:rFonts w:hint="eastAsia" w:cs="Times New Roman"/>
          <w:color w:val="auto"/>
          <w:kern w:val="0"/>
          <w:sz w:val="24"/>
          <w:szCs w:val="24"/>
          <w:lang w:val="en-US" w:eastAsia="zh-CN"/>
        </w:rPr>
        <w:t xml:space="preserve"> </w:t>
      </w:r>
      <w:r>
        <w:rPr>
          <w:rFonts w:hint="eastAsia" w:ascii="Times New Roman" w:hAnsi="Times New Roman" w:eastAsia="Times New Roman" w:cs="Times New Roman"/>
          <w:color w:val="auto"/>
          <w:kern w:val="0"/>
          <w:sz w:val="24"/>
          <w:szCs w:val="24"/>
          <w:lang w:eastAsia="zh-CN"/>
        </w:rPr>
        <w:t>   ）</w:t>
      </w:r>
    </w:p>
    <w:p w14:paraId="69146806">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①甲遗弃宠物狗咬伤行人，行人无权要求甲赔偿损失</w:t>
      </w:r>
    </w:p>
    <w:p w14:paraId="03ACF7D4">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②乙对其承包地享有抵押权，对其宅基地享有质押权</w:t>
      </w:r>
    </w:p>
    <w:p w14:paraId="0D81808F">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③丙因地面湿滑不慎摔倒骨折一案不属于行政诉讼法</w:t>
      </w:r>
    </w:p>
    <w:p w14:paraId="1A378662">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④丁对着邻家阳台在自家安装可视门铃，侵害邻居隐私权</w:t>
      </w:r>
    </w:p>
    <w:p w14:paraId="2908E5FC">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A．①</w:t>
      </w:r>
      <w:r>
        <w:rPr>
          <w:rFonts w:hint="eastAsia" w:cs="Times New Roman"/>
          <w:color w:val="auto"/>
          <w:kern w:val="0"/>
          <w:sz w:val="24"/>
          <w:szCs w:val="24"/>
          <w:lang w:eastAsia="zh-CN"/>
        </w:rPr>
        <w:t>②</w:t>
      </w:r>
      <w:r>
        <w:rPr>
          <w:rFonts w:hint="eastAsia" w:ascii="Times New Roman" w:hAnsi="Times New Roman" w:eastAsia="Times New Roman" w:cs="Times New Roman"/>
          <w:color w:val="auto"/>
          <w:kern w:val="0"/>
          <w:sz w:val="24"/>
          <w:szCs w:val="24"/>
          <w:lang w:eastAsia="zh-CN"/>
        </w:rPr>
        <w:tab/>
      </w:r>
      <w:r>
        <w:rPr>
          <w:rFonts w:hint="eastAsia" w:ascii="Times New Roman" w:hAnsi="Times New Roman" w:eastAsia="Times New Roman" w:cs="Times New Roman"/>
          <w:color w:val="auto"/>
          <w:kern w:val="0"/>
          <w:sz w:val="24"/>
          <w:szCs w:val="24"/>
          <w:lang w:eastAsia="zh-CN"/>
        </w:rPr>
        <w:t>B．②③</w:t>
      </w:r>
      <w:r>
        <w:rPr>
          <w:rFonts w:hint="eastAsia" w:ascii="Times New Roman" w:hAnsi="Times New Roman" w:eastAsia="Times New Roman" w:cs="Times New Roman"/>
          <w:color w:val="auto"/>
          <w:kern w:val="0"/>
          <w:sz w:val="24"/>
          <w:szCs w:val="24"/>
          <w:lang w:eastAsia="zh-CN"/>
        </w:rPr>
        <w:tab/>
      </w:r>
      <w:r>
        <w:rPr>
          <w:rFonts w:hint="eastAsia" w:ascii="Times New Roman" w:hAnsi="Times New Roman" w:eastAsia="Times New Roman" w:cs="Times New Roman"/>
          <w:color w:val="auto"/>
          <w:kern w:val="0"/>
          <w:sz w:val="24"/>
          <w:szCs w:val="24"/>
          <w:lang w:eastAsia="zh-CN"/>
        </w:rPr>
        <w:t>C．</w:t>
      </w:r>
      <w:r>
        <w:rPr>
          <w:rFonts w:hint="eastAsia" w:cs="Times New Roman"/>
          <w:color w:val="auto"/>
          <w:kern w:val="0"/>
          <w:sz w:val="24"/>
          <w:szCs w:val="24"/>
          <w:lang w:eastAsia="zh-CN"/>
        </w:rPr>
        <w:t>①</w:t>
      </w:r>
      <w:r>
        <w:rPr>
          <w:rFonts w:hint="eastAsia" w:ascii="Times New Roman" w:hAnsi="Times New Roman" w:eastAsia="Times New Roman" w:cs="Times New Roman"/>
          <w:color w:val="auto"/>
          <w:kern w:val="0"/>
          <w:sz w:val="24"/>
          <w:szCs w:val="24"/>
          <w:lang w:eastAsia="zh-CN"/>
        </w:rPr>
        <w:t>④</w:t>
      </w:r>
      <w:r>
        <w:rPr>
          <w:rFonts w:hint="eastAsia" w:ascii="Times New Roman" w:hAnsi="Times New Roman" w:eastAsia="Times New Roman" w:cs="Times New Roman"/>
          <w:color w:val="auto"/>
          <w:kern w:val="0"/>
          <w:sz w:val="24"/>
          <w:szCs w:val="24"/>
          <w:lang w:eastAsia="zh-CN"/>
        </w:rPr>
        <w:tab/>
      </w:r>
      <w:r>
        <w:rPr>
          <w:rFonts w:hint="eastAsia" w:ascii="Times New Roman" w:hAnsi="Times New Roman" w:eastAsia="Times New Roman" w:cs="Times New Roman"/>
          <w:color w:val="auto"/>
          <w:kern w:val="0"/>
          <w:sz w:val="24"/>
          <w:szCs w:val="24"/>
          <w:lang w:eastAsia="zh-CN"/>
        </w:rPr>
        <w:t>D．③④</w:t>
      </w:r>
    </w:p>
    <w:p w14:paraId="7F036824">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cs="Times New Roman"/>
          <w:color w:val="auto"/>
          <w:kern w:val="0"/>
          <w:sz w:val="24"/>
          <w:szCs w:val="24"/>
          <w:lang w:val="en-US" w:eastAsia="zh-CN"/>
        </w:rPr>
        <w:t>25</w:t>
      </w:r>
      <w:r>
        <w:rPr>
          <w:rFonts w:hint="eastAsia" w:ascii="Times New Roman" w:hAnsi="Times New Roman" w:eastAsia="Times New Roman" w:cs="Times New Roman"/>
          <w:color w:val="auto"/>
          <w:kern w:val="0"/>
          <w:sz w:val="24"/>
          <w:szCs w:val="24"/>
          <w:lang w:val="en-US" w:eastAsia="zh-CN"/>
        </w:rPr>
        <w:t>.</w:t>
      </w:r>
      <w:r>
        <w:rPr>
          <w:rFonts w:hint="eastAsia" w:ascii="Times New Roman" w:hAnsi="Times New Roman" w:eastAsia="Times New Roman" w:cs="Times New Roman"/>
          <w:color w:val="auto"/>
          <w:kern w:val="0"/>
          <w:sz w:val="24"/>
          <w:szCs w:val="24"/>
          <w:lang w:eastAsia="zh-CN"/>
        </w:rPr>
        <w:t xml:space="preserve">李某和妻子小陈于2019年从某银行抵押贷款购买了一套商品房。李某和高某是邻居，两户大门距离极近，该栋房屋原始户型为内开门，高某意欲将内开门改为外开门，多次协商无果，高某执意将内开门改为了外开门。2022年3月，高某开门时将李某的父亲头部撞伤，李某向法院起诉。据此，下列说法正确的是（ </w:t>
      </w:r>
      <w:r>
        <w:rPr>
          <w:rFonts w:hint="eastAsia" w:cs="Times New Roman"/>
          <w:color w:val="auto"/>
          <w:kern w:val="0"/>
          <w:sz w:val="24"/>
          <w:szCs w:val="24"/>
          <w:lang w:val="en-US" w:eastAsia="zh-CN"/>
        </w:rPr>
        <w:t xml:space="preserve"> </w:t>
      </w:r>
      <w:r>
        <w:rPr>
          <w:rFonts w:hint="eastAsia" w:ascii="Times New Roman" w:hAnsi="Times New Roman" w:eastAsia="Times New Roman" w:cs="Times New Roman"/>
          <w:color w:val="auto"/>
          <w:kern w:val="0"/>
          <w:sz w:val="24"/>
          <w:szCs w:val="24"/>
          <w:lang w:eastAsia="zh-CN"/>
        </w:rPr>
        <w:t xml:space="preserve"> ）</w:t>
      </w:r>
    </w:p>
    <w:tbl>
      <w:tblPr>
        <w:tblStyle w:val="7"/>
        <w:tblW w:w="9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342"/>
      </w:tblGrid>
      <w:tr w14:paraId="3B1A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866" w:hRule="atLeast"/>
        </w:trPr>
        <w:tc>
          <w:tcPr>
            <w:tcW w:w="9342"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4B578BA">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民法典第二百七十四条建筑区划内的道路，属于业主共有但是属于城镇公共道路的除外建筑区划内的共他公共场所、公用设施和物业服务用房，属于业主共有。</w:t>
            </w:r>
          </w:p>
        </w:tc>
      </w:tr>
    </w:tbl>
    <w:p w14:paraId="483261FD">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①高某的过错程度对于衡量其责任大小具有法律意义</w:t>
      </w:r>
    </w:p>
    <w:p w14:paraId="056CBCA9">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②银行作为抵押人对该商品房设置抵押权，未取得该房屋所有权</w:t>
      </w:r>
    </w:p>
    <w:p w14:paraId="2088AEB1">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③该房产为李某夫妻共有，所欠银行贷款为夫妻二人的共同债务</w:t>
      </w:r>
    </w:p>
    <w:p w14:paraId="72BAEFD2">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④高某改自己的家门应该保障相关权益人的财产所有权不受侵犯</w:t>
      </w:r>
    </w:p>
    <w:p w14:paraId="1B3998EA">
      <w:pPr>
        <w:widowControl/>
        <w:jc w:val="both"/>
        <w:textAlignment w:val="center"/>
        <w:rPr>
          <w:rFonts w:hint="eastAsia" w:ascii="Times New Roman" w:hAnsi="Times New Roman" w:eastAsia="Times New Roman" w:cs="Times New Roman"/>
          <w:color w:val="auto"/>
          <w:kern w:val="0"/>
          <w:sz w:val="24"/>
          <w:szCs w:val="24"/>
          <w:lang w:eastAsia="zh-CN"/>
        </w:rPr>
      </w:pPr>
      <w:r>
        <w:rPr>
          <w:rFonts w:hint="eastAsia" w:ascii="Times New Roman" w:hAnsi="Times New Roman" w:eastAsia="Times New Roman" w:cs="Times New Roman"/>
          <w:color w:val="auto"/>
          <w:kern w:val="0"/>
          <w:sz w:val="24"/>
          <w:szCs w:val="24"/>
          <w:lang w:eastAsia="zh-CN"/>
        </w:rPr>
        <w:t>A. ①②</w:t>
      </w:r>
      <w:r>
        <w:rPr>
          <w:rFonts w:hint="eastAsia" w:ascii="Times New Roman" w:hAnsi="Times New Roman" w:eastAsia="Times New Roman" w:cs="Times New Roman"/>
          <w:color w:val="auto"/>
          <w:kern w:val="0"/>
          <w:sz w:val="24"/>
          <w:szCs w:val="24"/>
          <w:lang w:eastAsia="zh-CN"/>
        </w:rPr>
        <w:tab/>
      </w:r>
      <w:r>
        <w:rPr>
          <w:rFonts w:hint="eastAsia" w:cs="Times New Roman"/>
          <w:color w:val="auto"/>
          <w:kern w:val="0"/>
          <w:sz w:val="24"/>
          <w:szCs w:val="24"/>
          <w:lang w:val="en-US" w:eastAsia="zh-CN"/>
        </w:rPr>
        <w:t xml:space="preserve"> </w:t>
      </w:r>
      <w:r>
        <w:rPr>
          <w:rFonts w:hint="eastAsia" w:ascii="Times New Roman" w:hAnsi="Times New Roman" w:eastAsia="Times New Roman" w:cs="Times New Roman"/>
          <w:color w:val="auto"/>
          <w:kern w:val="0"/>
          <w:sz w:val="24"/>
          <w:szCs w:val="24"/>
          <w:lang w:eastAsia="zh-CN"/>
        </w:rPr>
        <w:t>B. ①③</w:t>
      </w:r>
      <w:r>
        <w:rPr>
          <w:rFonts w:hint="eastAsia" w:ascii="Times New Roman" w:hAnsi="Times New Roman" w:eastAsia="Times New Roman" w:cs="Times New Roman"/>
          <w:color w:val="auto"/>
          <w:kern w:val="0"/>
          <w:sz w:val="24"/>
          <w:szCs w:val="24"/>
          <w:lang w:eastAsia="zh-CN"/>
        </w:rPr>
        <w:tab/>
      </w:r>
      <w:r>
        <w:rPr>
          <w:rFonts w:hint="eastAsia" w:ascii="Times New Roman" w:hAnsi="Times New Roman" w:eastAsia="Times New Roman" w:cs="Times New Roman"/>
          <w:color w:val="auto"/>
          <w:kern w:val="0"/>
          <w:sz w:val="24"/>
          <w:szCs w:val="24"/>
          <w:lang w:eastAsia="zh-CN"/>
        </w:rPr>
        <w:t>C. ②④</w:t>
      </w:r>
      <w:r>
        <w:rPr>
          <w:rFonts w:hint="eastAsia" w:cs="Times New Roman"/>
          <w:color w:val="auto"/>
          <w:kern w:val="0"/>
          <w:sz w:val="24"/>
          <w:szCs w:val="24"/>
          <w:lang w:val="en-US" w:eastAsia="zh-CN"/>
        </w:rPr>
        <w:t xml:space="preserve"> </w:t>
      </w:r>
      <w:r>
        <w:rPr>
          <w:rFonts w:hint="eastAsia" w:ascii="Times New Roman" w:hAnsi="Times New Roman" w:eastAsia="Times New Roman" w:cs="Times New Roman"/>
          <w:color w:val="auto"/>
          <w:kern w:val="0"/>
          <w:sz w:val="24"/>
          <w:szCs w:val="24"/>
          <w:lang w:eastAsia="zh-CN"/>
        </w:rPr>
        <w:tab/>
      </w:r>
      <w:r>
        <w:rPr>
          <w:rFonts w:hint="eastAsia" w:ascii="Times New Roman" w:hAnsi="Times New Roman" w:eastAsia="Times New Roman" w:cs="Times New Roman"/>
          <w:color w:val="auto"/>
          <w:kern w:val="0"/>
          <w:sz w:val="24"/>
          <w:szCs w:val="24"/>
          <w:lang w:eastAsia="zh-CN"/>
        </w:rPr>
        <w:t>D. ③④</w:t>
      </w:r>
    </w:p>
    <w:p w14:paraId="7463C32C">
      <w:pPr>
        <w:widowControl/>
        <w:jc w:val="both"/>
        <w:textAlignment w:val="center"/>
        <w:rPr>
          <w:rFonts w:hint="default" w:ascii="Times New Roman" w:hAnsi="Times New Roman" w:eastAsia="Times New Roman" w:cs="Times New Roman"/>
          <w:color w:val="auto"/>
          <w:kern w:val="0"/>
          <w:sz w:val="24"/>
          <w:szCs w:val="24"/>
          <w:lang w:eastAsia="zh-CN"/>
        </w:rPr>
      </w:pPr>
      <w:r>
        <w:rPr>
          <w:rFonts w:hint="eastAsia" w:cs="Times New Roman"/>
          <w:color w:val="auto"/>
          <w:kern w:val="0"/>
          <w:sz w:val="24"/>
          <w:szCs w:val="24"/>
          <w:lang w:val="en-US" w:eastAsia="zh-CN"/>
        </w:rPr>
        <w:t>26</w:t>
      </w:r>
      <w:r>
        <w:rPr>
          <w:rFonts w:hint="eastAsia" w:ascii="Times New Roman" w:hAnsi="Times New Roman" w:eastAsia="Times New Roman" w:cs="Times New Roman"/>
          <w:color w:val="auto"/>
          <w:kern w:val="0"/>
          <w:sz w:val="24"/>
          <w:szCs w:val="24"/>
          <w:lang w:val="en-US" w:eastAsia="zh-CN"/>
        </w:rPr>
        <w:t>.</w:t>
      </w:r>
      <w:r>
        <w:rPr>
          <w:rFonts w:hint="default" w:ascii="Times New Roman" w:hAnsi="Times New Roman" w:eastAsia="Times New Roman" w:cs="Times New Roman"/>
          <w:color w:val="auto"/>
          <w:kern w:val="0"/>
          <w:sz w:val="24"/>
          <w:szCs w:val="24"/>
          <w:lang w:eastAsia="zh-CN"/>
        </w:rPr>
        <w:t>2023年8月，高某应聘入职某诊所担任运营院长，工作职责包括日常管理运营、人员招聘、拟定劳动合同及与招聘人员签订劳动合同等(有微信聊天记录)，2024年5月高某离职。后高某提出仲裁申请，要求被申请人某诊所支付2023年8月至2024年5月期间未签订劳动合同的双倍工资差额16万元。仲裁委经审查后驳回其仲裁请求，高某不服遂诉至法院。最终法院依法判决驳回高某诉讼请求。据此，下列说法正确的是(   )</w:t>
      </w:r>
    </w:p>
    <w:p w14:paraId="65D05852">
      <w:pPr>
        <w:widowControl/>
        <w:jc w:val="both"/>
        <w:textAlignment w:val="center"/>
        <w:rPr>
          <w:rFonts w:hint="default"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①如果对本案的裁决不服可以向劳动保障监察部门申请行政复议</w:t>
      </w:r>
    </w:p>
    <w:p w14:paraId="52A42CDC">
      <w:pPr>
        <w:widowControl/>
        <w:jc w:val="both"/>
        <w:textAlignment w:val="center"/>
        <w:rPr>
          <w:rFonts w:hint="default"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②高某若胜诉需提供向用人单位申请签订书面劳动合同而被拒的证据</w:t>
      </w:r>
    </w:p>
    <w:p w14:paraId="153B97A8">
      <w:pPr>
        <w:widowControl/>
        <w:jc w:val="both"/>
        <w:textAlignment w:val="center"/>
        <w:rPr>
          <w:rFonts w:hint="default"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③诊所可提交微信聊天记录公证书以鉴定意见的形式作为应诉的证据</w:t>
      </w:r>
    </w:p>
    <w:p w14:paraId="1103A485">
      <w:pPr>
        <w:widowControl/>
        <w:jc w:val="both"/>
        <w:textAlignment w:val="center"/>
        <w:rPr>
          <w:rFonts w:hint="default"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④作为负有与招聘人员签订合同职责的高某不能因其失职行为而受益</w:t>
      </w:r>
    </w:p>
    <w:p w14:paraId="681A7780">
      <w:pPr>
        <w:widowControl/>
        <w:jc w:val="both"/>
        <w:textAlignment w:val="center"/>
        <w:rPr>
          <w:rFonts w:hint="default"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A．①③</w:t>
      </w:r>
      <w:r>
        <w:rPr>
          <w:rFonts w:hint="default" w:ascii="Times New Roman" w:hAnsi="Times New Roman" w:eastAsia="Times New Roman" w:cs="Times New Roman"/>
          <w:color w:val="auto"/>
          <w:kern w:val="0"/>
          <w:sz w:val="24"/>
          <w:szCs w:val="24"/>
          <w:lang w:eastAsia="zh-CN"/>
        </w:rPr>
        <w:tab/>
      </w:r>
      <w:r>
        <w:rPr>
          <w:rFonts w:hint="default" w:ascii="Times New Roman" w:hAnsi="Times New Roman" w:eastAsia="Times New Roman" w:cs="Times New Roman"/>
          <w:color w:val="auto"/>
          <w:kern w:val="0"/>
          <w:sz w:val="24"/>
          <w:szCs w:val="24"/>
          <w:lang w:eastAsia="zh-CN"/>
        </w:rPr>
        <w:t>B．①④</w:t>
      </w:r>
      <w:r>
        <w:rPr>
          <w:rFonts w:hint="default" w:ascii="Times New Roman" w:hAnsi="Times New Roman" w:eastAsia="Times New Roman" w:cs="Times New Roman"/>
          <w:color w:val="auto"/>
          <w:kern w:val="0"/>
          <w:sz w:val="24"/>
          <w:szCs w:val="24"/>
          <w:lang w:eastAsia="zh-CN"/>
        </w:rPr>
        <w:tab/>
      </w:r>
      <w:r>
        <w:rPr>
          <w:rFonts w:hint="default" w:ascii="Times New Roman" w:hAnsi="Times New Roman" w:eastAsia="Times New Roman" w:cs="Times New Roman"/>
          <w:color w:val="auto"/>
          <w:kern w:val="0"/>
          <w:sz w:val="24"/>
          <w:szCs w:val="24"/>
          <w:lang w:eastAsia="zh-CN"/>
        </w:rPr>
        <w:t>C．②③</w:t>
      </w:r>
      <w:r>
        <w:rPr>
          <w:rFonts w:hint="default" w:ascii="Times New Roman" w:hAnsi="Times New Roman" w:eastAsia="Times New Roman" w:cs="Times New Roman"/>
          <w:color w:val="auto"/>
          <w:kern w:val="0"/>
          <w:sz w:val="24"/>
          <w:szCs w:val="24"/>
          <w:lang w:eastAsia="zh-CN"/>
        </w:rPr>
        <w:tab/>
      </w:r>
      <w:r>
        <w:rPr>
          <w:rFonts w:hint="default" w:ascii="Times New Roman" w:hAnsi="Times New Roman" w:eastAsia="Times New Roman" w:cs="Times New Roman"/>
          <w:color w:val="auto"/>
          <w:kern w:val="0"/>
          <w:sz w:val="24"/>
          <w:szCs w:val="24"/>
          <w:lang w:eastAsia="zh-CN"/>
        </w:rPr>
        <w:t>D．②④</w:t>
      </w:r>
    </w:p>
    <w:p w14:paraId="33AC589D">
      <w:pPr>
        <w:widowControl/>
        <w:jc w:val="both"/>
        <w:textAlignment w:val="center"/>
        <w:rPr>
          <w:rFonts w:hint="default" w:ascii="Times New Roman" w:hAnsi="Times New Roman" w:eastAsia="Times New Roman" w:cs="Times New Roman"/>
          <w:color w:val="auto"/>
          <w:kern w:val="0"/>
          <w:sz w:val="24"/>
          <w:szCs w:val="24"/>
          <w:lang w:eastAsia="zh-CN"/>
        </w:rPr>
      </w:pPr>
      <w:r>
        <w:rPr>
          <w:rFonts w:hint="eastAsia" w:cs="Times New Roman"/>
          <w:color w:val="auto"/>
          <w:kern w:val="0"/>
          <w:sz w:val="24"/>
          <w:szCs w:val="24"/>
          <w:lang w:val="en-US" w:eastAsia="zh-CN"/>
        </w:rPr>
        <w:t>27</w:t>
      </w:r>
      <w:r>
        <w:rPr>
          <w:rFonts w:hint="default" w:ascii="Times New Roman" w:hAnsi="Times New Roman" w:eastAsia="Times New Roman" w:cs="Times New Roman"/>
          <w:color w:val="auto"/>
          <w:kern w:val="0"/>
          <w:sz w:val="24"/>
          <w:szCs w:val="24"/>
          <w:lang w:eastAsia="zh-CN"/>
        </w:rPr>
        <w:t>．中国十大名茶代表了中国茶叶品种品质与生产制作工艺之最，也显现出中国独特的茶文化魅力。在十大名茶中，安徽省独占三席。</w:t>
      </w:r>
    </w:p>
    <w:tbl>
      <w:tblPr>
        <w:tblStyle w:val="7"/>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60"/>
        <w:gridCol w:w="7472"/>
      </w:tblGrid>
      <w:tr w14:paraId="52B1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09" w:hRule="atLeast"/>
          <w:jc w:val="center"/>
        </w:trPr>
        <w:tc>
          <w:tcPr>
            <w:tcW w:w="10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08CF7CA">
            <w:pPr>
              <w:widowControl/>
              <w:jc w:val="both"/>
              <w:textAlignment w:val="center"/>
              <w:rPr>
                <w:rFonts w:hint="default"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情境一</w:t>
            </w:r>
          </w:p>
        </w:tc>
        <w:tc>
          <w:tcPr>
            <w:tcW w:w="7472"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45BFCB8">
            <w:pPr>
              <w:widowControl/>
              <w:jc w:val="both"/>
              <w:textAlignment w:val="center"/>
              <w:rPr>
                <w:rFonts w:hint="default"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在弘扬优秀传统文化的课堂上，某老师播放了太平猴魁非遗传承人方某已经发表的视频作品，介绍制茶工艺过程。</w:t>
            </w:r>
          </w:p>
        </w:tc>
      </w:tr>
      <w:tr w14:paraId="4694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46" w:hRule="atLeast"/>
          <w:jc w:val="center"/>
        </w:trPr>
        <w:tc>
          <w:tcPr>
            <w:tcW w:w="10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D17313A">
            <w:pPr>
              <w:widowControl/>
              <w:jc w:val="both"/>
              <w:textAlignment w:val="center"/>
              <w:rPr>
                <w:rFonts w:hint="default"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情境二</w:t>
            </w:r>
          </w:p>
        </w:tc>
        <w:tc>
          <w:tcPr>
            <w:tcW w:w="7472"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E9A01F2">
            <w:pPr>
              <w:widowControl/>
              <w:jc w:val="both"/>
              <w:textAlignment w:val="center"/>
              <w:rPr>
                <w:rFonts w:hint="default"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执法人员在检查中发现某经营场所内存有标注“六安瓜片”茶叶外包装袋若干个，当事人无法提供“六安瓜片”地理标志证明商标许可材料。</w:t>
            </w:r>
          </w:p>
        </w:tc>
      </w:tr>
      <w:tr w14:paraId="5461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36" w:hRule="atLeast"/>
          <w:jc w:val="center"/>
        </w:trPr>
        <w:tc>
          <w:tcPr>
            <w:tcW w:w="10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2F2B30A">
            <w:pPr>
              <w:widowControl/>
              <w:jc w:val="both"/>
              <w:textAlignment w:val="center"/>
              <w:rPr>
                <w:rFonts w:hint="default"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情境三</w:t>
            </w:r>
          </w:p>
        </w:tc>
        <w:tc>
          <w:tcPr>
            <w:tcW w:w="7472"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3087BE5">
            <w:pPr>
              <w:widowControl/>
              <w:jc w:val="both"/>
              <w:textAlignment w:val="center"/>
              <w:rPr>
                <w:rFonts w:hint="default"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某商家弄虚作假，消费者在其直播间买回来的黄山毛峰，与直播间展示的产品差异较大，质量堪忧。</w:t>
            </w:r>
          </w:p>
        </w:tc>
      </w:tr>
    </w:tbl>
    <w:p w14:paraId="1038D61D">
      <w:pPr>
        <w:widowControl/>
        <w:jc w:val="both"/>
        <w:textAlignment w:val="center"/>
        <w:rPr>
          <w:rFonts w:hint="default"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关于上述情境，表述正确的是（ </w:t>
      </w:r>
      <w:r>
        <w:rPr>
          <w:rFonts w:hint="eastAsia" w:cs="Times New Roman"/>
          <w:color w:val="auto"/>
          <w:kern w:val="0"/>
          <w:sz w:val="24"/>
          <w:szCs w:val="24"/>
          <w:lang w:val="en-US" w:eastAsia="zh-CN"/>
        </w:rPr>
        <w:t xml:space="preserve"> </w:t>
      </w:r>
      <w:r>
        <w:rPr>
          <w:rFonts w:hint="default" w:ascii="Times New Roman" w:hAnsi="Times New Roman" w:eastAsia="Times New Roman" w:cs="Times New Roman"/>
          <w:color w:val="auto"/>
          <w:kern w:val="0"/>
          <w:sz w:val="24"/>
          <w:szCs w:val="24"/>
          <w:lang w:eastAsia="zh-CN"/>
        </w:rPr>
        <w:t>  ）</w:t>
      </w:r>
    </w:p>
    <w:p w14:paraId="560821FA">
      <w:pPr>
        <w:widowControl/>
        <w:jc w:val="both"/>
        <w:textAlignment w:val="center"/>
        <w:rPr>
          <w:rFonts w:hint="eastAsia"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①情境一中为学校课堂教学播放方某作品，属于作品的</w:t>
      </w:r>
      <w:r>
        <w:rPr>
          <w:rFonts w:hint="eastAsia" w:ascii="Times New Roman" w:hAnsi="Times New Roman" w:eastAsia="Times New Roman" w:cs="Times New Roman"/>
          <w:color w:val="auto"/>
          <w:kern w:val="0"/>
          <w:sz w:val="24"/>
          <w:szCs w:val="24"/>
          <w:lang w:eastAsia="zh-CN"/>
        </w:rPr>
        <w:t>法定许可</w:t>
      </w:r>
    </w:p>
    <w:p w14:paraId="453DFF4E">
      <w:pPr>
        <w:widowControl/>
        <w:jc w:val="both"/>
        <w:textAlignment w:val="center"/>
        <w:rPr>
          <w:rFonts w:hint="eastAsia"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②情境二中当事人无法提供地理标志证明许可材料</w:t>
      </w:r>
      <w:r>
        <w:rPr>
          <w:rFonts w:hint="eastAsia" w:ascii="Times New Roman" w:hAnsi="Times New Roman" w:eastAsia="Times New Roman" w:cs="Times New Roman"/>
          <w:color w:val="auto"/>
          <w:kern w:val="0"/>
          <w:sz w:val="24"/>
          <w:szCs w:val="24"/>
          <w:lang w:eastAsia="zh-CN"/>
        </w:rPr>
        <w:t>侵犯了商标权</w:t>
      </w:r>
    </w:p>
    <w:p w14:paraId="549445D5">
      <w:pPr>
        <w:widowControl/>
        <w:jc w:val="both"/>
        <w:textAlignment w:val="center"/>
        <w:rPr>
          <w:rFonts w:hint="eastAsia"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③情境三中商家</w:t>
      </w:r>
      <w:r>
        <w:rPr>
          <w:rFonts w:hint="eastAsia" w:ascii="Times New Roman" w:hAnsi="Times New Roman" w:eastAsia="Times New Roman" w:cs="Times New Roman"/>
          <w:color w:val="auto"/>
          <w:kern w:val="0"/>
          <w:sz w:val="24"/>
          <w:szCs w:val="24"/>
          <w:lang w:eastAsia="zh-CN"/>
        </w:rPr>
        <w:t>应诚信经营，公平竞争，树立良好的信誉和形象</w:t>
      </w:r>
    </w:p>
    <w:p w14:paraId="1D77BE5F">
      <w:pPr>
        <w:widowControl/>
        <w:jc w:val="both"/>
        <w:textAlignment w:val="center"/>
        <w:rPr>
          <w:rFonts w:hint="default"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④上述情境表明行为人侵害他人的民事权利，应当承担违约责任</w:t>
      </w:r>
    </w:p>
    <w:p w14:paraId="4D6E7D90">
      <w:pPr>
        <w:widowControl/>
        <w:jc w:val="both"/>
        <w:textAlignment w:val="center"/>
        <w:rPr>
          <w:rFonts w:hint="default"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A．①③</w:t>
      </w:r>
      <w:r>
        <w:rPr>
          <w:rFonts w:hint="default" w:ascii="Times New Roman" w:hAnsi="Times New Roman" w:eastAsia="Times New Roman" w:cs="Times New Roman"/>
          <w:color w:val="auto"/>
          <w:kern w:val="0"/>
          <w:sz w:val="24"/>
          <w:szCs w:val="24"/>
          <w:lang w:eastAsia="zh-CN"/>
        </w:rPr>
        <w:tab/>
      </w:r>
      <w:r>
        <w:rPr>
          <w:rFonts w:hint="default" w:ascii="Times New Roman" w:hAnsi="Times New Roman" w:eastAsia="Times New Roman" w:cs="Times New Roman"/>
          <w:color w:val="auto"/>
          <w:kern w:val="0"/>
          <w:sz w:val="24"/>
          <w:szCs w:val="24"/>
          <w:lang w:eastAsia="zh-CN"/>
        </w:rPr>
        <w:t>B．①④</w:t>
      </w:r>
      <w:r>
        <w:rPr>
          <w:rFonts w:hint="default" w:ascii="Times New Roman" w:hAnsi="Times New Roman" w:eastAsia="Times New Roman" w:cs="Times New Roman"/>
          <w:color w:val="auto"/>
          <w:kern w:val="0"/>
          <w:sz w:val="24"/>
          <w:szCs w:val="24"/>
          <w:lang w:eastAsia="zh-CN"/>
        </w:rPr>
        <w:tab/>
      </w:r>
      <w:r>
        <w:rPr>
          <w:rFonts w:hint="default" w:ascii="Times New Roman" w:hAnsi="Times New Roman" w:eastAsia="Times New Roman" w:cs="Times New Roman"/>
          <w:color w:val="auto"/>
          <w:kern w:val="0"/>
          <w:sz w:val="24"/>
          <w:szCs w:val="24"/>
          <w:lang w:eastAsia="zh-CN"/>
        </w:rPr>
        <w:t>C．②③</w:t>
      </w:r>
      <w:r>
        <w:rPr>
          <w:rFonts w:hint="default" w:ascii="Times New Roman" w:hAnsi="Times New Roman" w:eastAsia="Times New Roman" w:cs="Times New Roman"/>
          <w:color w:val="auto"/>
          <w:kern w:val="0"/>
          <w:sz w:val="24"/>
          <w:szCs w:val="24"/>
          <w:lang w:eastAsia="zh-CN"/>
        </w:rPr>
        <w:tab/>
      </w:r>
      <w:r>
        <w:rPr>
          <w:rFonts w:hint="default" w:ascii="Times New Roman" w:hAnsi="Times New Roman" w:eastAsia="Times New Roman" w:cs="Times New Roman"/>
          <w:color w:val="auto"/>
          <w:kern w:val="0"/>
          <w:sz w:val="24"/>
          <w:szCs w:val="24"/>
          <w:lang w:eastAsia="zh-CN"/>
        </w:rPr>
        <w:t>D．②④</w:t>
      </w:r>
    </w:p>
    <w:p w14:paraId="7A353C04">
      <w:pPr>
        <w:widowControl/>
        <w:jc w:val="both"/>
        <w:textAlignment w:val="center"/>
        <w:rPr>
          <w:rFonts w:hint="default" w:ascii="Times New Roman" w:hAnsi="Times New Roman" w:eastAsia="Times New Roman" w:cs="Times New Roman"/>
          <w:color w:val="auto"/>
          <w:kern w:val="0"/>
          <w:sz w:val="24"/>
          <w:szCs w:val="24"/>
          <w:lang w:eastAsia="zh-CN"/>
        </w:rPr>
      </w:pPr>
      <w:r>
        <w:rPr>
          <w:rFonts w:hint="eastAsia" w:cs="Times New Roman"/>
          <w:color w:val="auto"/>
          <w:kern w:val="0"/>
          <w:sz w:val="24"/>
          <w:szCs w:val="24"/>
          <w:lang w:val="en-US" w:eastAsia="zh-CN"/>
        </w:rPr>
        <w:t>28</w:t>
      </w:r>
      <w:r>
        <w:rPr>
          <w:rFonts w:hint="default" w:ascii="Times New Roman" w:hAnsi="Times New Roman" w:eastAsia="Times New Roman" w:cs="Times New Roman"/>
          <w:color w:val="auto"/>
          <w:kern w:val="0"/>
          <w:sz w:val="24"/>
          <w:szCs w:val="24"/>
          <w:lang w:eastAsia="zh-CN"/>
        </w:rPr>
        <w:t>．蔡某与韩某1984年结婚，共同修建房屋登记于二人名下。1993年法院判决离婚，房屋归蔡某但未过户。2017年蔡某与张某再婚，2022年立公证遗嘱将房屋由张某继承。2024年蔡某去世，韩某质疑遗嘱真实性，主张小蔡（系蔡某与韩某的女儿）继承。张某遂起诉韩某、小蔡至法院，要求确认遗嘱效力并办理过户。下列说法正确的是（ </w:t>
      </w:r>
      <w:r>
        <w:rPr>
          <w:rFonts w:hint="eastAsia" w:cs="Times New Roman"/>
          <w:color w:val="auto"/>
          <w:kern w:val="0"/>
          <w:sz w:val="24"/>
          <w:szCs w:val="24"/>
          <w:lang w:val="en-US" w:eastAsia="zh-CN"/>
        </w:rPr>
        <w:t xml:space="preserve"> </w:t>
      </w:r>
      <w:r>
        <w:rPr>
          <w:rFonts w:hint="default" w:ascii="Times New Roman" w:hAnsi="Times New Roman" w:eastAsia="Times New Roman" w:cs="Times New Roman"/>
          <w:color w:val="auto"/>
          <w:kern w:val="0"/>
          <w:sz w:val="24"/>
          <w:szCs w:val="24"/>
          <w:lang w:eastAsia="zh-CN"/>
        </w:rPr>
        <w:t>  ）</w:t>
      </w:r>
    </w:p>
    <w:p w14:paraId="57FD164C">
      <w:pPr>
        <w:widowControl/>
        <w:jc w:val="both"/>
        <w:textAlignment w:val="center"/>
        <w:rPr>
          <w:rFonts w:hint="default"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①公证遗嘱合法有效，张某有权优先于其他法定继承人继承房屋</w:t>
      </w:r>
    </w:p>
    <w:p w14:paraId="4F651406">
      <w:pPr>
        <w:widowControl/>
        <w:jc w:val="both"/>
        <w:textAlignment w:val="center"/>
        <w:rPr>
          <w:rFonts w:hint="default"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②房屋始终为蔡某与韩某共同财产，离婚未过户不影响物权归属</w:t>
      </w:r>
    </w:p>
    <w:p w14:paraId="3382F9A6">
      <w:pPr>
        <w:widowControl/>
        <w:jc w:val="both"/>
        <w:textAlignment w:val="center"/>
        <w:rPr>
          <w:rFonts w:hint="default"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③</w:t>
      </w:r>
      <w:r>
        <w:rPr>
          <w:rFonts w:hint="eastAsia" w:ascii="Times New Roman" w:hAnsi="Times New Roman" w:eastAsia="Times New Roman" w:cs="Times New Roman"/>
          <w:color w:val="auto"/>
          <w:kern w:val="0"/>
          <w:sz w:val="24"/>
          <w:szCs w:val="24"/>
          <w:lang w:eastAsia="zh-CN"/>
        </w:rPr>
        <w:t>案例中的遗嘱</w:t>
      </w:r>
      <w:r>
        <w:rPr>
          <w:rFonts w:hint="default" w:ascii="Times New Roman" w:hAnsi="Times New Roman" w:eastAsia="Times New Roman" w:cs="Times New Roman"/>
          <w:color w:val="auto"/>
          <w:kern w:val="0"/>
          <w:sz w:val="24"/>
          <w:szCs w:val="24"/>
          <w:lang w:eastAsia="zh-CN"/>
        </w:rPr>
        <w:t>须有</w:t>
      </w:r>
      <w:r>
        <w:rPr>
          <w:rFonts w:hint="eastAsia" w:ascii="Times New Roman" w:hAnsi="Times New Roman" w:eastAsia="Times New Roman" w:cs="Times New Roman"/>
          <w:color w:val="auto"/>
          <w:kern w:val="0"/>
          <w:sz w:val="24"/>
          <w:szCs w:val="24"/>
          <w:lang w:eastAsia="zh-CN"/>
        </w:rPr>
        <w:t>两个</w:t>
      </w:r>
      <w:r>
        <w:rPr>
          <w:rFonts w:hint="default" w:ascii="Times New Roman" w:hAnsi="Times New Roman" w:eastAsia="Times New Roman" w:cs="Times New Roman"/>
          <w:color w:val="auto"/>
          <w:kern w:val="0"/>
          <w:sz w:val="24"/>
          <w:szCs w:val="24"/>
          <w:lang w:eastAsia="zh-CN"/>
        </w:rPr>
        <w:t>无利害关系的见证人在场见证才能生效</w:t>
      </w:r>
    </w:p>
    <w:p w14:paraId="07A5F5BF">
      <w:pPr>
        <w:widowControl/>
        <w:jc w:val="both"/>
        <w:textAlignment w:val="center"/>
        <w:rPr>
          <w:rFonts w:hint="eastAsia"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④</w:t>
      </w:r>
      <w:r>
        <w:rPr>
          <w:rFonts w:hint="eastAsia" w:ascii="Times New Roman" w:hAnsi="Times New Roman" w:eastAsia="Times New Roman" w:cs="Times New Roman"/>
          <w:color w:val="auto"/>
          <w:kern w:val="0"/>
          <w:sz w:val="24"/>
          <w:szCs w:val="24"/>
          <w:lang w:eastAsia="zh-CN"/>
        </w:rPr>
        <w:t>若小蔡尚未成年且无生活来源，应当为其保留必要的遗产份额</w:t>
      </w:r>
    </w:p>
    <w:p w14:paraId="45690135">
      <w:pPr>
        <w:widowControl/>
        <w:jc w:val="both"/>
        <w:textAlignment w:val="center"/>
        <w:rPr>
          <w:rFonts w:hint="default"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A．①③</w:t>
      </w:r>
      <w:r>
        <w:rPr>
          <w:rFonts w:hint="default" w:ascii="Times New Roman" w:hAnsi="Times New Roman" w:eastAsia="Times New Roman" w:cs="Times New Roman"/>
          <w:color w:val="auto"/>
          <w:kern w:val="0"/>
          <w:sz w:val="24"/>
          <w:szCs w:val="24"/>
          <w:lang w:eastAsia="zh-CN"/>
        </w:rPr>
        <w:tab/>
      </w:r>
      <w:r>
        <w:rPr>
          <w:rFonts w:hint="default" w:ascii="Times New Roman" w:hAnsi="Times New Roman" w:eastAsia="Times New Roman" w:cs="Times New Roman"/>
          <w:color w:val="auto"/>
          <w:kern w:val="0"/>
          <w:sz w:val="24"/>
          <w:szCs w:val="24"/>
          <w:lang w:eastAsia="zh-CN"/>
        </w:rPr>
        <w:t>B．①④</w:t>
      </w:r>
      <w:r>
        <w:rPr>
          <w:rFonts w:hint="default" w:ascii="Times New Roman" w:hAnsi="Times New Roman" w:eastAsia="Times New Roman" w:cs="Times New Roman"/>
          <w:color w:val="auto"/>
          <w:kern w:val="0"/>
          <w:sz w:val="24"/>
          <w:szCs w:val="24"/>
          <w:lang w:eastAsia="zh-CN"/>
        </w:rPr>
        <w:tab/>
      </w:r>
      <w:r>
        <w:rPr>
          <w:rFonts w:hint="default" w:ascii="Times New Roman" w:hAnsi="Times New Roman" w:eastAsia="Times New Roman" w:cs="Times New Roman"/>
          <w:color w:val="auto"/>
          <w:kern w:val="0"/>
          <w:sz w:val="24"/>
          <w:szCs w:val="24"/>
          <w:lang w:eastAsia="zh-CN"/>
        </w:rPr>
        <w:t>C．②③</w:t>
      </w:r>
      <w:r>
        <w:rPr>
          <w:rFonts w:hint="default" w:ascii="Times New Roman" w:hAnsi="Times New Roman" w:eastAsia="Times New Roman" w:cs="Times New Roman"/>
          <w:color w:val="auto"/>
          <w:kern w:val="0"/>
          <w:sz w:val="24"/>
          <w:szCs w:val="24"/>
          <w:lang w:eastAsia="zh-CN"/>
        </w:rPr>
        <w:tab/>
      </w:r>
      <w:r>
        <w:rPr>
          <w:rFonts w:hint="default" w:ascii="Times New Roman" w:hAnsi="Times New Roman" w:eastAsia="Times New Roman" w:cs="Times New Roman"/>
          <w:color w:val="auto"/>
          <w:kern w:val="0"/>
          <w:sz w:val="24"/>
          <w:szCs w:val="24"/>
          <w:lang w:eastAsia="zh-CN"/>
        </w:rPr>
        <w:t>D．②④</w:t>
      </w:r>
    </w:p>
    <w:p w14:paraId="2B0F155A">
      <w:pPr>
        <w:widowControl/>
        <w:jc w:val="both"/>
        <w:textAlignment w:val="center"/>
        <w:rPr>
          <w:rFonts w:hint="default" w:ascii="Times New Roman" w:hAnsi="Times New Roman" w:eastAsia="Times New Roman" w:cs="Times New Roman"/>
          <w:color w:val="auto"/>
          <w:kern w:val="0"/>
          <w:sz w:val="24"/>
          <w:szCs w:val="24"/>
          <w:lang w:eastAsia="zh-CN"/>
        </w:rPr>
      </w:pPr>
      <w:r>
        <w:rPr>
          <w:rFonts w:hint="eastAsia" w:cs="Times New Roman"/>
          <w:color w:val="auto"/>
          <w:kern w:val="0"/>
          <w:sz w:val="24"/>
          <w:szCs w:val="24"/>
          <w:lang w:val="en-US" w:eastAsia="zh-CN"/>
        </w:rPr>
        <w:t>29</w:t>
      </w:r>
      <w:r>
        <w:rPr>
          <w:rFonts w:hint="eastAsia" w:ascii="Times New Roman" w:hAnsi="Times New Roman" w:eastAsia="Times New Roman" w:cs="Times New Roman"/>
          <w:color w:val="auto"/>
          <w:kern w:val="0"/>
          <w:sz w:val="24"/>
          <w:szCs w:val="24"/>
          <w:lang w:val="en-US" w:eastAsia="zh-CN"/>
        </w:rPr>
        <w:t>.</w:t>
      </w:r>
      <w:r>
        <w:rPr>
          <w:rFonts w:hint="default" w:ascii="Times New Roman" w:hAnsi="Times New Roman" w:eastAsia="Times New Roman" w:cs="Times New Roman"/>
          <w:color w:val="auto"/>
          <w:kern w:val="0"/>
          <w:sz w:val="24"/>
          <w:szCs w:val="24"/>
          <w:lang w:eastAsia="zh-CN"/>
        </w:rPr>
        <w:t xml:space="preserve">甲是某小区业主，其居住的楼房出口区域经常停放乙公司的多辆共享单车，影响正常通行。甲委托律师向乙公司邮寄律师函，要求乙公司在接到律师函30日内，在其公司的手机应用程序中，将上述区域设置为禁停区。乙公司收到律师函后未采取相应措施，甲遂起诉至法院。对此案认识正确的是（ </w:t>
      </w:r>
      <w:r>
        <w:rPr>
          <w:rFonts w:hint="eastAsia" w:cs="Times New Roman"/>
          <w:color w:val="auto"/>
          <w:kern w:val="0"/>
          <w:sz w:val="24"/>
          <w:szCs w:val="24"/>
          <w:lang w:val="en-US" w:eastAsia="zh-CN"/>
        </w:rPr>
        <w:t xml:space="preserve"> </w:t>
      </w:r>
      <w:r>
        <w:rPr>
          <w:rFonts w:hint="default" w:ascii="Times New Roman" w:hAnsi="Times New Roman" w:eastAsia="Times New Roman" w:cs="Times New Roman"/>
          <w:color w:val="auto"/>
          <w:kern w:val="0"/>
          <w:sz w:val="24"/>
          <w:szCs w:val="24"/>
          <w:lang w:eastAsia="zh-CN"/>
        </w:rPr>
        <w:t xml:space="preserve"> ）</w:t>
      </w:r>
    </w:p>
    <w:p w14:paraId="0E01FB83">
      <w:pPr>
        <w:widowControl/>
        <w:jc w:val="both"/>
        <w:textAlignment w:val="center"/>
        <w:rPr>
          <w:rFonts w:hint="default"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①该案件中甲应承担主要举证责任，提交的影像资料属于重要物证</w:t>
      </w:r>
    </w:p>
    <w:p w14:paraId="5751CFC6">
      <w:pPr>
        <w:widowControl/>
        <w:jc w:val="both"/>
        <w:textAlignment w:val="center"/>
        <w:rPr>
          <w:rFonts w:hint="default"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②乙公司若不服法院一审判决,可</w:t>
      </w:r>
      <w:r>
        <w:rPr>
          <w:rFonts w:hint="eastAsia" w:ascii="Times New Roman" w:hAnsi="Times New Roman" w:eastAsia="Times New Roman" w:cs="Times New Roman"/>
          <w:color w:val="auto"/>
          <w:kern w:val="0"/>
          <w:sz w:val="24"/>
          <w:szCs w:val="24"/>
          <w:lang w:eastAsia="zh-CN"/>
        </w:rPr>
        <w:t>以</w:t>
      </w:r>
      <w:r>
        <w:rPr>
          <w:rFonts w:hint="default" w:ascii="Times New Roman" w:hAnsi="Times New Roman" w:eastAsia="Times New Roman" w:cs="Times New Roman"/>
          <w:color w:val="auto"/>
          <w:kern w:val="0"/>
          <w:sz w:val="24"/>
          <w:szCs w:val="24"/>
          <w:lang w:eastAsia="zh-CN"/>
        </w:rPr>
        <w:t>在10日内向上级法院提起上诉</w:t>
      </w:r>
    </w:p>
    <w:p w14:paraId="0C7B4B21">
      <w:pPr>
        <w:widowControl/>
        <w:jc w:val="both"/>
        <w:textAlignment w:val="center"/>
        <w:rPr>
          <w:rFonts w:hint="default"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③乙公司不在规定时间内提交答辩状，将不影响人民法院审理该案</w:t>
      </w:r>
    </w:p>
    <w:p w14:paraId="7C3A15CB">
      <w:pPr>
        <w:widowControl/>
        <w:jc w:val="both"/>
        <w:textAlignment w:val="center"/>
        <w:rPr>
          <w:rFonts w:hint="default"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④作为小区的业主，甲对小区共有部分享有共有和共同管理的权利</w:t>
      </w:r>
    </w:p>
    <w:p w14:paraId="631A3EA7">
      <w:pPr>
        <w:widowControl/>
        <w:jc w:val="both"/>
        <w:textAlignment w:val="center"/>
        <w:rPr>
          <w:rFonts w:hint="default"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A．①②</w:t>
      </w:r>
      <w:r>
        <w:rPr>
          <w:rFonts w:hint="default" w:ascii="Times New Roman" w:hAnsi="Times New Roman" w:eastAsia="Times New Roman" w:cs="Times New Roman"/>
          <w:color w:val="auto"/>
          <w:kern w:val="0"/>
          <w:sz w:val="24"/>
          <w:szCs w:val="24"/>
          <w:lang w:eastAsia="zh-CN"/>
        </w:rPr>
        <w:tab/>
      </w:r>
      <w:r>
        <w:rPr>
          <w:rFonts w:hint="default" w:ascii="Times New Roman" w:hAnsi="Times New Roman" w:eastAsia="Times New Roman" w:cs="Times New Roman"/>
          <w:color w:val="auto"/>
          <w:kern w:val="0"/>
          <w:sz w:val="24"/>
          <w:szCs w:val="24"/>
          <w:lang w:eastAsia="zh-CN"/>
        </w:rPr>
        <w:t>B. ①③</w:t>
      </w:r>
      <w:r>
        <w:rPr>
          <w:rFonts w:hint="default" w:ascii="Times New Roman" w:hAnsi="Times New Roman" w:eastAsia="Times New Roman" w:cs="Times New Roman"/>
          <w:color w:val="auto"/>
          <w:kern w:val="0"/>
          <w:sz w:val="24"/>
          <w:szCs w:val="24"/>
          <w:lang w:eastAsia="zh-CN"/>
        </w:rPr>
        <w:tab/>
      </w:r>
      <w:r>
        <w:rPr>
          <w:rFonts w:hint="default" w:ascii="Times New Roman" w:hAnsi="Times New Roman" w:eastAsia="Times New Roman" w:cs="Times New Roman"/>
          <w:color w:val="auto"/>
          <w:kern w:val="0"/>
          <w:sz w:val="24"/>
          <w:szCs w:val="24"/>
          <w:lang w:eastAsia="zh-CN"/>
        </w:rPr>
        <w:t>C. ②④</w:t>
      </w:r>
      <w:r>
        <w:rPr>
          <w:rFonts w:hint="default" w:ascii="Times New Roman" w:hAnsi="Times New Roman" w:eastAsia="Times New Roman" w:cs="Times New Roman"/>
          <w:color w:val="auto"/>
          <w:kern w:val="0"/>
          <w:sz w:val="24"/>
          <w:szCs w:val="24"/>
          <w:lang w:eastAsia="zh-CN"/>
        </w:rPr>
        <w:tab/>
      </w:r>
      <w:r>
        <w:rPr>
          <w:rFonts w:hint="default" w:ascii="Times New Roman" w:hAnsi="Times New Roman" w:eastAsia="Times New Roman" w:cs="Times New Roman"/>
          <w:color w:val="auto"/>
          <w:kern w:val="0"/>
          <w:sz w:val="24"/>
          <w:szCs w:val="24"/>
          <w:lang w:eastAsia="zh-CN"/>
        </w:rPr>
        <w:t>D. ③④</w:t>
      </w:r>
    </w:p>
    <w:p w14:paraId="5B26E1C8">
      <w:pPr>
        <w:widowControl/>
        <w:jc w:val="both"/>
        <w:textAlignment w:val="center"/>
        <w:rPr>
          <w:rFonts w:hint="default" w:ascii="Times New Roman" w:hAnsi="Times New Roman" w:eastAsia="Times New Roman" w:cs="Times New Roman"/>
          <w:color w:val="auto"/>
          <w:kern w:val="0"/>
          <w:sz w:val="24"/>
          <w:szCs w:val="24"/>
          <w:lang w:eastAsia="zh-CN"/>
        </w:rPr>
      </w:pPr>
      <w:r>
        <w:rPr>
          <w:rFonts w:hint="eastAsia" w:cs="Times New Roman"/>
          <w:color w:val="auto"/>
          <w:kern w:val="0"/>
          <w:sz w:val="24"/>
          <w:szCs w:val="24"/>
          <w:lang w:val="en-US" w:eastAsia="zh-CN"/>
        </w:rPr>
        <w:t>30</w:t>
      </w:r>
      <w:r>
        <w:rPr>
          <w:rFonts w:hint="default" w:ascii="Times New Roman" w:hAnsi="Times New Roman" w:eastAsia="Times New Roman" w:cs="Times New Roman"/>
          <w:color w:val="auto"/>
          <w:kern w:val="0"/>
          <w:sz w:val="24"/>
          <w:szCs w:val="24"/>
          <w:lang w:eastAsia="zh-CN"/>
        </w:rPr>
        <w:t>．某村村委会与甲公司签订土地流转合同，约定甲公司承租的水田用于稻渔综合种养。2023年1月开始，为获得更高经济利润，甲公司擅自在涉案田地上挖了深达2米的鱼塘，破坏永久基本农田面积约28亩。当地检察院对甲公司以民事公益诉讼立案。据此，下列说法正确的是</w:t>
      </w:r>
    </w:p>
    <w:tbl>
      <w:tblPr>
        <w:tblStyle w:val="7"/>
        <w:tblW w:w="0" w:type="auto"/>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687"/>
      </w:tblGrid>
      <w:tr w14:paraId="0433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968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25BD31F">
            <w:pPr>
              <w:widowControl/>
              <w:jc w:val="both"/>
              <w:textAlignment w:val="center"/>
              <w:rPr>
                <w:rFonts w:hint="default"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相关资料</w:t>
            </w:r>
            <w:r>
              <w:rPr>
                <w:rFonts w:hint="eastAsia" w:cs="Times New Roman"/>
                <w:color w:val="auto"/>
                <w:kern w:val="0"/>
                <w:sz w:val="24"/>
                <w:szCs w:val="24"/>
                <w:lang w:eastAsia="zh-CN"/>
              </w:rPr>
              <w:t>：</w:t>
            </w:r>
            <w:r>
              <w:rPr>
                <w:rFonts w:hint="default" w:ascii="Times New Roman" w:hAnsi="Times New Roman" w:eastAsia="Times New Roman" w:cs="Times New Roman"/>
                <w:color w:val="auto"/>
                <w:kern w:val="0"/>
                <w:sz w:val="24"/>
                <w:szCs w:val="24"/>
                <w:lang w:eastAsia="zh-CN"/>
              </w:rPr>
              <w:t>《土地管理法》第三十七条:禁止占用永久基本农田发展林果业和挖塘养鱼。……</w:t>
            </w:r>
          </w:p>
          <w:p w14:paraId="652559FF">
            <w:pPr>
              <w:widowControl/>
              <w:jc w:val="both"/>
              <w:textAlignment w:val="center"/>
              <w:rPr>
                <w:rFonts w:hint="default"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《中华人民共和国土地管理法实施条例》第五十一条:非法占用永久基本农田发展林果业或者挖塘养鱼的，由县级以上人民政府自然资源主管部门进行查处。</w:t>
            </w:r>
          </w:p>
        </w:tc>
      </w:tr>
    </w:tbl>
    <w:p w14:paraId="6C8F41A8">
      <w:pPr>
        <w:widowControl/>
        <w:jc w:val="both"/>
        <w:textAlignment w:val="center"/>
        <w:rPr>
          <w:rFonts w:hint="default"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①甲公司即使</w:t>
      </w:r>
      <w:r>
        <w:rPr>
          <w:rFonts w:hint="eastAsia" w:ascii="Times New Roman" w:hAnsi="Times New Roman" w:eastAsia="Times New Roman" w:cs="Times New Roman"/>
          <w:color w:val="auto"/>
          <w:kern w:val="0"/>
          <w:sz w:val="24"/>
          <w:szCs w:val="24"/>
          <w:lang w:eastAsia="zh-CN"/>
        </w:rPr>
        <w:t>主观上并</w:t>
      </w:r>
      <w:r>
        <w:rPr>
          <w:rFonts w:hint="default" w:ascii="Times New Roman" w:hAnsi="Times New Roman" w:eastAsia="Times New Roman" w:cs="Times New Roman"/>
          <w:color w:val="auto"/>
          <w:kern w:val="0"/>
          <w:sz w:val="24"/>
          <w:szCs w:val="24"/>
          <w:lang w:eastAsia="zh-CN"/>
        </w:rPr>
        <w:t>无过错，也要承担破坏生态的侵权责任</w:t>
      </w:r>
    </w:p>
    <w:p w14:paraId="60200A7B">
      <w:pPr>
        <w:widowControl/>
        <w:jc w:val="both"/>
        <w:textAlignment w:val="center"/>
        <w:rPr>
          <w:rFonts w:hint="default"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②本案作为公诉案件，被告违法的举证责任由人民检察院承担</w:t>
      </w:r>
    </w:p>
    <w:p w14:paraId="027D2E08">
      <w:pPr>
        <w:widowControl/>
        <w:jc w:val="both"/>
        <w:textAlignment w:val="center"/>
        <w:rPr>
          <w:rFonts w:hint="default"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③甲公司需就其行为与损害之间不存在因果关系承担举证责任</w:t>
      </w:r>
    </w:p>
    <w:p w14:paraId="5DA0F60E">
      <w:pPr>
        <w:widowControl/>
        <w:jc w:val="both"/>
        <w:textAlignment w:val="center"/>
        <w:rPr>
          <w:rFonts w:hint="eastAsia"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④甲</w:t>
      </w:r>
      <w:r>
        <w:rPr>
          <w:rFonts w:hint="eastAsia" w:ascii="Times New Roman" w:hAnsi="Times New Roman" w:eastAsia="Times New Roman" w:cs="Times New Roman"/>
          <w:color w:val="auto"/>
          <w:kern w:val="0"/>
          <w:sz w:val="24"/>
          <w:szCs w:val="24"/>
          <w:lang w:eastAsia="zh-CN"/>
        </w:rPr>
        <w:t>公司的行为体现了市场调节的自发性</w:t>
      </w:r>
      <w:r>
        <w:rPr>
          <w:rFonts w:hint="eastAsia" w:cs="Times New Roman"/>
          <w:color w:val="auto"/>
          <w:kern w:val="0"/>
          <w:sz w:val="24"/>
          <w:szCs w:val="24"/>
          <w:lang w:eastAsia="zh-CN"/>
        </w:rPr>
        <w:t>、盲目性固有的弊端</w:t>
      </w:r>
    </w:p>
    <w:p w14:paraId="758B7A9A">
      <w:pPr>
        <w:widowControl/>
        <w:jc w:val="both"/>
        <w:textAlignment w:val="center"/>
        <w:rPr>
          <w:rFonts w:hint="eastAsia"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A．①③</w:t>
      </w:r>
      <w:r>
        <w:rPr>
          <w:rFonts w:hint="default" w:ascii="Times New Roman" w:hAnsi="Times New Roman" w:eastAsia="Times New Roman" w:cs="Times New Roman"/>
          <w:color w:val="auto"/>
          <w:kern w:val="0"/>
          <w:sz w:val="24"/>
          <w:szCs w:val="24"/>
          <w:lang w:eastAsia="zh-CN"/>
        </w:rPr>
        <w:tab/>
      </w:r>
      <w:r>
        <w:rPr>
          <w:rFonts w:hint="default" w:ascii="Times New Roman" w:hAnsi="Times New Roman" w:eastAsia="Times New Roman" w:cs="Times New Roman"/>
          <w:color w:val="auto"/>
          <w:kern w:val="0"/>
          <w:sz w:val="24"/>
          <w:szCs w:val="24"/>
          <w:lang w:eastAsia="zh-CN"/>
        </w:rPr>
        <w:t>B．①④</w:t>
      </w:r>
      <w:r>
        <w:rPr>
          <w:rFonts w:hint="default" w:ascii="Times New Roman" w:hAnsi="Times New Roman" w:eastAsia="Times New Roman" w:cs="Times New Roman"/>
          <w:color w:val="auto"/>
          <w:kern w:val="0"/>
          <w:sz w:val="24"/>
          <w:szCs w:val="24"/>
          <w:lang w:eastAsia="zh-CN"/>
        </w:rPr>
        <w:tab/>
      </w:r>
      <w:r>
        <w:rPr>
          <w:rFonts w:hint="default" w:ascii="Times New Roman" w:hAnsi="Times New Roman" w:eastAsia="Times New Roman" w:cs="Times New Roman"/>
          <w:color w:val="auto"/>
          <w:kern w:val="0"/>
          <w:sz w:val="24"/>
          <w:szCs w:val="24"/>
          <w:lang w:eastAsia="zh-CN"/>
        </w:rPr>
        <w:t>C．②③</w:t>
      </w:r>
      <w:r>
        <w:rPr>
          <w:rFonts w:hint="default" w:ascii="Times New Roman" w:hAnsi="Times New Roman" w:eastAsia="Times New Roman" w:cs="Times New Roman"/>
          <w:color w:val="auto"/>
          <w:kern w:val="0"/>
          <w:sz w:val="24"/>
          <w:szCs w:val="24"/>
          <w:lang w:eastAsia="zh-CN"/>
        </w:rPr>
        <w:tab/>
      </w:r>
      <w:r>
        <w:rPr>
          <w:rFonts w:hint="default" w:ascii="Times New Roman" w:hAnsi="Times New Roman" w:eastAsia="Times New Roman" w:cs="Times New Roman"/>
          <w:color w:val="auto"/>
          <w:kern w:val="0"/>
          <w:sz w:val="24"/>
          <w:szCs w:val="24"/>
          <w:lang w:eastAsia="zh-CN"/>
        </w:rPr>
        <w:t>D．②④</w:t>
      </w:r>
    </w:p>
    <w:p w14:paraId="0DBDB8C9">
      <w:pPr>
        <w:adjustRightInd w:val="0"/>
        <w:spacing w:line="360" w:lineRule="auto"/>
        <w:ind w:firstLine="3122" w:firstLineChars="1300"/>
        <w:rPr>
          <w:color w:val="auto"/>
          <w:sz w:val="22"/>
          <w:szCs w:val="22"/>
          <w:lang w:eastAsia="zh-CN"/>
        </w:rPr>
      </w:pPr>
      <w:r>
        <w:rPr>
          <w:rFonts w:hint="eastAsia" w:ascii="宋体" w:hAnsi="宋体"/>
          <w:b/>
          <w:color w:val="auto"/>
          <w:lang w:eastAsia="zh-CN"/>
        </w:rPr>
        <w:t>第Ⅱ卷（</w:t>
      </w:r>
      <w:r>
        <w:rPr>
          <w:rFonts w:hint="eastAsia" w:ascii="宋体" w:hAnsi="宋体" w:eastAsia="宋体"/>
          <w:b/>
          <w:color w:val="auto"/>
          <w:lang w:eastAsia="zh-CN"/>
        </w:rPr>
        <w:t>非选择题，</w:t>
      </w:r>
      <w:r>
        <w:rPr>
          <w:rFonts w:hint="eastAsia" w:ascii="宋体" w:hAnsi="宋体"/>
          <w:b/>
          <w:color w:val="auto"/>
          <w:lang w:eastAsia="zh-CN"/>
        </w:rPr>
        <w:t>共</w:t>
      </w:r>
      <w:r>
        <w:rPr>
          <w:rFonts w:hint="eastAsia" w:ascii="宋体" w:hAnsi="宋体" w:eastAsia="宋体"/>
          <w:b/>
          <w:color w:val="auto"/>
          <w:lang w:eastAsia="zh-CN"/>
        </w:rPr>
        <w:t>40</w:t>
      </w:r>
      <w:r>
        <w:rPr>
          <w:rFonts w:hint="eastAsia" w:ascii="宋体" w:hAnsi="宋体"/>
          <w:b/>
          <w:color w:val="auto"/>
          <w:lang w:eastAsia="zh-CN"/>
        </w:rPr>
        <w:t>分）</w:t>
      </w:r>
    </w:p>
    <w:p w14:paraId="42669CA2">
      <w:pPr>
        <w:spacing w:line="336" w:lineRule="exact"/>
        <w:ind w:right="-20"/>
        <w:rPr>
          <w:rFonts w:eastAsia="宋体"/>
          <w:color w:val="auto"/>
          <w:lang w:eastAsia="zh-CN"/>
        </w:rPr>
      </w:pPr>
      <w:r>
        <w:rPr>
          <w:rFonts w:ascii="宋体" w:hAnsi="宋体" w:cs="宋体"/>
          <w:color w:val="auto"/>
          <w:position w:val="-2"/>
          <w:sz w:val="23"/>
          <w:szCs w:val="23"/>
          <w:lang w:eastAsia="zh-CN"/>
        </w:rPr>
        <w:t>二</w:t>
      </w:r>
      <w:r>
        <w:rPr>
          <w:rFonts w:ascii="宋体" w:hAnsi="宋体" w:cs="宋体"/>
          <w:color w:val="auto"/>
          <w:spacing w:val="2"/>
          <w:position w:val="-2"/>
          <w:sz w:val="23"/>
          <w:szCs w:val="23"/>
          <w:lang w:eastAsia="zh-CN"/>
        </w:rPr>
        <w:t>、</w:t>
      </w:r>
      <w:r>
        <w:rPr>
          <w:rFonts w:ascii="宋体" w:hAnsi="宋体" w:cs="宋体"/>
          <w:color w:val="auto"/>
          <w:position w:val="-2"/>
          <w:sz w:val="23"/>
          <w:szCs w:val="23"/>
          <w:lang w:eastAsia="zh-CN"/>
        </w:rPr>
        <w:t>非选择</w:t>
      </w:r>
      <w:r>
        <w:rPr>
          <w:rFonts w:ascii="宋体" w:hAnsi="宋体" w:cs="宋体"/>
          <w:color w:val="auto"/>
          <w:spacing w:val="2"/>
          <w:position w:val="-2"/>
          <w:sz w:val="23"/>
          <w:szCs w:val="23"/>
          <w:lang w:eastAsia="zh-CN"/>
        </w:rPr>
        <w:t>题</w:t>
      </w:r>
      <w:r>
        <w:rPr>
          <w:rFonts w:hint="eastAsia" w:ascii="宋体" w:hAnsi="宋体" w:cs="宋体"/>
          <w:color w:val="auto"/>
          <w:spacing w:val="2"/>
          <w:position w:val="-2"/>
          <w:sz w:val="23"/>
          <w:szCs w:val="23"/>
          <w:lang w:eastAsia="zh-CN"/>
        </w:rPr>
        <w:t>（共</w:t>
      </w:r>
      <w:r>
        <w:rPr>
          <w:rFonts w:hint="eastAsia" w:ascii="宋体" w:hAnsi="宋体" w:cs="宋体"/>
          <w:color w:val="auto"/>
          <w:spacing w:val="2"/>
          <w:position w:val="-2"/>
          <w:sz w:val="23"/>
          <w:szCs w:val="23"/>
          <w:lang w:val="en-US" w:eastAsia="zh-CN"/>
        </w:rPr>
        <w:t>4</w:t>
      </w:r>
      <w:r>
        <w:rPr>
          <w:rFonts w:hint="eastAsia" w:ascii="宋体" w:hAnsi="宋体" w:cs="宋体"/>
          <w:color w:val="auto"/>
          <w:spacing w:val="2"/>
          <w:position w:val="-2"/>
          <w:sz w:val="23"/>
          <w:szCs w:val="23"/>
          <w:lang w:eastAsia="zh-CN"/>
        </w:rPr>
        <w:t>题，</w:t>
      </w:r>
      <w:r>
        <w:rPr>
          <w:rFonts w:hint="eastAsia" w:ascii="宋体" w:hAnsi="宋体" w:eastAsia="宋体" w:cs="宋体"/>
          <w:color w:val="auto"/>
          <w:spacing w:val="2"/>
          <w:position w:val="-2"/>
          <w:sz w:val="23"/>
          <w:szCs w:val="23"/>
          <w:lang w:eastAsia="zh-CN"/>
        </w:rPr>
        <w:t>40</w:t>
      </w:r>
      <w:r>
        <w:rPr>
          <w:rFonts w:hint="eastAsia" w:ascii="宋体" w:hAnsi="宋体" w:cs="宋体"/>
          <w:color w:val="auto"/>
          <w:spacing w:val="2"/>
          <w:position w:val="-2"/>
          <w:sz w:val="23"/>
          <w:szCs w:val="23"/>
          <w:lang w:eastAsia="zh-CN"/>
        </w:rPr>
        <w:t>分）</w:t>
      </w:r>
    </w:p>
    <w:p w14:paraId="094BA4FA">
      <w:pPr>
        <w:ind w:firstLine="480" w:firstLineChars="200"/>
        <w:textAlignment w:val="center"/>
        <w:rPr>
          <w:rFonts w:hint="default" w:ascii="楷体" w:hAnsi="楷体" w:eastAsia="楷体" w:cs="楷体"/>
          <w:color w:val="auto"/>
          <w:lang w:eastAsia="zh-CN"/>
        </w:rPr>
      </w:pPr>
      <w:r>
        <w:rPr>
          <w:rFonts w:hint="eastAsia"/>
          <w:color w:val="auto"/>
          <w:lang w:val="en-US" w:eastAsia="zh-CN"/>
        </w:rPr>
        <w:t>31.（12分）</w:t>
      </w:r>
      <w:r>
        <w:rPr>
          <w:rFonts w:hint="default" w:ascii="楷体" w:hAnsi="楷体" w:eastAsia="楷体" w:cs="楷体"/>
          <w:color w:val="auto"/>
          <w:lang w:eastAsia="zh-CN"/>
        </w:rPr>
        <w:t>在全球化浪潮中，中餐已经成为传播中国文化的重要使者，征服着全球食客的味蕾。</w:t>
      </w:r>
    </w:p>
    <w:p w14:paraId="27F01223">
      <w:pPr>
        <w:ind w:firstLine="480" w:firstLineChars="200"/>
        <w:textAlignment w:val="center"/>
        <w:rPr>
          <w:rFonts w:hint="default" w:ascii="楷体" w:hAnsi="楷体" w:eastAsia="楷体" w:cs="楷体"/>
          <w:color w:val="auto"/>
          <w:lang w:eastAsia="zh-CN"/>
        </w:rPr>
      </w:pPr>
      <w:r>
        <w:rPr>
          <w:rFonts w:hint="default" w:ascii="楷体" w:hAnsi="楷体" w:eastAsia="楷体" w:cs="楷体"/>
          <w:color w:val="auto"/>
          <w:lang w:eastAsia="zh-CN"/>
        </w:rPr>
        <w:t>作为中国火锅行业出海标杆，H公司凭借其独特的服务与美味，迅速赢得全球食客的青睐。国际化运营中，该公司深度实施本土化策略，在日本研发低盐汤底以满足老龄化消费需求，在马来西亚穆斯林聚集区推出清真火锅，在欧美市场创新采用小火锅分餐制……这些设计都通过本土化认证体系迅速覆盖多国市场，规模化效益显著提升。与此同时，随着门店增多，公司在当地自建中央厨房并实现90％菜品标准化生产，冷链物流保障食材新鲜度，大数据动态优化库存使配送效率提升。近年来，针对欧盟检测标准升级等事件，公关部门快速响应，通过第三方认证机构定期发布合规报告，在降低消费者疑虑的同时，有效增强了国际公信力。截至2024年底，H公司海外门店总数达122家，市场规模超50亿元，覆盖16个国家和地区。</w:t>
      </w:r>
    </w:p>
    <w:p w14:paraId="10AEE2A4">
      <w:pPr>
        <w:ind w:firstLine="240" w:firstLineChars="100"/>
        <w:textAlignment w:val="center"/>
        <w:rPr>
          <w:rFonts w:hint="default" w:ascii="宋体" w:hAnsi="宋体" w:eastAsia="宋体" w:cs="宋体"/>
          <w:bCs/>
          <w:color w:val="auto"/>
          <w:szCs w:val="32"/>
          <w:lang w:eastAsia="zh-CN"/>
        </w:rPr>
      </w:pPr>
      <w:r>
        <w:rPr>
          <w:rFonts w:hint="default" w:ascii="宋体" w:hAnsi="宋体" w:eastAsia="宋体" w:cs="宋体"/>
          <w:bCs/>
          <w:color w:val="auto"/>
          <w:szCs w:val="32"/>
          <w:lang w:eastAsia="zh-CN"/>
        </w:rPr>
        <w:t>有观点认为，通过本土化策略驱动规模化发展，中国餐饮企业才能在全球化浪潮中构建可持续竞争力。请运用经济与社会</w:t>
      </w:r>
      <w:r>
        <w:rPr>
          <w:rFonts w:hint="eastAsia" w:ascii="宋体" w:hAnsi="宋体" w:eastAsia="宋体" w:cs="宋体"/>
          <w:bCs/>
          <w:color w:val="auto"/>
          <w:szCs w:val="32"/>
          <w:lang w:eastAsia="zh-CN"/>
        </w:rPr>
        <w:t>的知识，</w:t>
      </w:r>
      <w:r>
        <w:rPr>
          <w:rFonts w:hint="default" w:ascii="宋体" w:hAnsi="宋体" w:eastAsia="宋体" w:cs="宋体"/>
          <w:bCs/>
          <w:color w:val="auto"/>
          <w:szCs w:val="32"/>
          <w:lang w:eastAsia="zh-CN"/>
        </w:rPr>
        <w:t>结合材料对该观点进行评析。</w:t>
      </w:r>
      <w:r>
        <w:rPr>
          <w:rFonts w:hint="eastAsia" w:ascii="宋体" w:hAnsi="宋体" w:eastAsia="宋体" w:cs="宋体"/>
          <w:bCs/>
          <w:color w:val="auto"/>
          <w:szCs w:val="32"/>
          <w:lang w:eastAsia="zh-CN"/>
        </w:rPr>
        <w:t>（</w:t>
      </w:r>
      <w:r>
        <w:rPr>
          <w:rFonts w:hint="eastAsia" w:ascii="宋体" w:hAnsi="宋体" w:eastAsia="宋体" w:cs="宋体"/>
          <w:bCs/>
          <w:color w:val="auto"/>
          <w:szCs w:val="32"/>
          <w:lang w:val="en-US" w:eastAsia="zh-CN"/>
        </w:rPr>
        <w:t>12分</w:t>
      </w:r>
      <w:r>
        <w:rPr>
          <w:rFonts w:hint="eastAsia" w:ascii="宋体" w:hAnsi="宋体" w:eastAsia="宋体" w:cs="宋体"/>
          <w:bCs/>
          <w:color w:val="auto"/>
          <w:szCs w:val="32"/>
          <w:lang w:eastAsia="zh-CN"/>
        </w:rPr>
        <w:t>）</w:t>
      </w:r>
    </w:p>
    <w:p w14:paraId="0DD8D452">
      <w:pPr>
        <w:ind w:firstLine="480" w:firstLineChars="200"/>
        <w:textAlignment w:val="center"/>
        <w:rPr>
          <w:rFonts w:hint="default" w:ascii="楷体" w:hAnsi="楷体" w:eastAsia="楷体" w:cs="楷体"/>
          <w:color w:val="auto"/>
          <w:lang w:eastAsia="zh-CN"/>
        </w:rPr>
      </w:pPr>
    </w:p>
    <w:p w14:paraId="7E43D39F">
      <w:pPr>
        <w:ind w:firstLine="480" w:firstLineChars="200"/>
        <w:textAlignment w:val="center"/>
        <w:rPr>
          <w:rFonts w:hint="default" w:ascii="楷体" w:hAnsi="楷体" w:eastAsia="楷体" w:cs="楷体"/>
          <w:color w:val="auto"/>
          <w:lang w:eastAsia="zh-CN"/>
        </w:rPr>
      </w:pPr>
      <w:r>
        <w:rPr>
          <w:rFonts w:hint="eastAsia" w:ascii="楷体" w:hAnsi="楷体" w:eastAsia="楷体" w:cs="楷体"/>
          <w:color w:val="auto"/>
          <w:lang w:val="en-US" w:eastAsia="zh-CN"/>
        </w:rPr>
        <w:t>32.（8分）</w:t>
      </w:r>
      <w:r>
        <w:rPr>
          <w:rFonts w:hint="default" w:ascii="楷体" w:hAnsi="楷体" w:eastAsia="楷体" w:cs="楷体"/>
          <w:color w:val="auto"/>
          <w:lang w:eastAsia="zh-CN"/>
        </w:rPr>
        <w:t>【缘起】</w:t>
      </w:r>
    </w:p>
    <w:p w14:paraId="52754268">
      <w:pPr>
        <w:ind w:firstLine="480" w:firstLineChars="200"/>
        <w:textAlignment w:val="center"/>
        <w:rPr>
          <w:rFonts w:hint="default" w:ascii="楷体" w:hAnsi="楷体" w:eastAsia="楷体" w:cs="楷体"/>
          <w:color w:val="auto"/>
          <w:lang w:eastAsia="zh-CN"/>
        </w:rPr>
      </w:pPr>
      <w:r>
        <w:rPr>
          <w:rFonts w:hint="default" w:ascii="楷体" w:hAnsi="楷体" w:eastAsia="楷体" w:cs="楷体"/>
          <w:color w:val="auto"/>
          <w:lang w:eastAsia="zh-CN"/>
        </w:rPr>
        <w:t>李某和张某是某中学初一年级同班同学。一天课间，李某起身与前座同学聊天，张某路过李某座位时，突起“玩心”，偷偷将李某的椅子往后拉出一定距离，李某坐下时不慎坐空并摔倒，后脑碰到凳子后躺地不起。事故发生后，班主任王老师第一时间把李某送去了医院并通知了家长。李某被诊断为颅脑外伤、功能性神经障碍以及视神经挫伤。</w:t>
      </w:r>
    </w:p>
    <w:p w14:paraId="6DEAF7DD">
      <w:pPr>
        <w:ind w:firstLine="480" w:firstLineChars="200"/>
        <w:textAlignment w:val="center"/>
        <w:rPr>
          <w:rFonts w:hint="default" w:ascii="楷体" w:hAnsi="楷体" w:eastAsia="楷体" w:cs="楷体"/>
          <w:color w:val="auto"/>
          <w:lang w:eastAsia="zh-CN"/>
        </w:rPr>
      </w:pPr>
      <w:r>
        <w:rPr>
          <w:rFonts w:hint="default" w:ascii="楷体" w:hAnsi="楷体" w:eastAsia="楷体" w:cs="楷体"/>
          <w:color w:val="auto"/>
          <w:lang w:eastAsia="zh-CN"/>
        </w:rPr>
        <w:t>【争议】</w:t>
      </w:r>
    </w:p>
    <w:p w14:paraId="42DC4BA2">
      <w:pPr>
        <w:ind w:firstLine="480" w:firstLineChars="200"/>
        <w:textAlignment w:val="center"/>
        <w:rPr>
          <w:rFonts w:hint="default" w:ascii="楷体" w:hAnsi="楷体" w:eastAsia="楷体" w:cs="楷体"/>
          <w:color w:val="auto"/>
          <w:lang w:eastAsia="zh-CN"/>
        </w:rPr>
      </w:pPr>
      <w:r>
        <w:rPr>
          <w:rFonts w:hint="default" w:ascii="楷体" w:hAnsi="楷体" w:eastAsia="楷体" w:cs="楷体"/>
          <w:color w:val="auto"/>
          <w:lang w:eastAsia="zh-CN"/>
        </w:rPr>
        <w:t>李某父母认为，李某受伤是由张某偷拉椅子导致的，张某应承担责任，赔偿损失。张某父母则认为，事故是在学校发生的，损失应该由学校赔偿。学校也很无奈，班主任表示，班级里前一天刚刚召开了安全教育主题班会，不料第二天就出了意外。</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986"/>
      </w:tblGrid>
      <w:tr w14:paraId="1E7E0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B54A0B4">
            <w:pPr>
              <w:ind w:firstLine="480" w:firstLineChars="200"/>
              <w:textAlignment w:val="center"/>
              <w:rPr>
                <w:rFonts w:hint="default" w:ascii="楷体" w:hAnsi="楷体" w:eastAsia="楷体" w:cs="楷体"/>
                <w:color w:val="auto"/>
                <w:lang w:eastAsia="zh-CN"/>
              </w:rPr>
            </w:pPr>
            <w:r>
              <w:rPr>
                <w:rFonts w:hint="default" w:ascii="楷体" w:hAnsi="楷体" w:eastAsia="楷体" w:cs="楷体"/>
                <w:color w:val="auto"/>
                <w:lang w:eastAsia="zh-CN"/>
              </w:rPr>
              <w:t>相关资料《民法典》第一千二百条  限制民事行为能力人在学校或者其他教育机构学习、生活期间受到人身损害，学校或者其他教育机构未尽到教育、管理职责的，应当承担侵权责任。</w:t>
            </w:r>
          </w:p>
        </w:tc>
      </w:tr>
    </w:tbl>
    <w:p w14:paraId="30E761C4">
      <w:pPr>
        <w:ind w:firstLine="480" w:firstLineChars="200"/>
        <w:textAlignment w:val="center"/>
        <w:rPr>
          <w:rFonts w:hint="default" w:ascii="楷体" w:hAnsi="楷体" w:eastAsia="楷体" w:cs="楷体"/>
          <w:color w:val="auto"/>
          <w:lang w:eastAsia="zh-CN"/>
        </w:rPr>
      </w:pPr>
      <w:r>
        <w:rPr>
          <w:rFonts w:hint="default" w:ascii="楷体" w:hAnsi="楷体" w:eastAsia="楷体" w:cs="楷体"/>
          <w:color w:val="auto"/>
          <w:lang w:eastAsia="zh-CN"/>
        </w:rPr>
        <w:t>【求助】</w:t>
      </w:r>
    </w:p>
    <w:p w14:paraId="3ECC20E6">
      <w:pPr>
        <w:ind w:firstLine="480" w:firstLineChars="200"/>
        <w:textAlignment w:val="center"/>
        <w:rPr>
          <w:rFonts w:hint="default" w:ascii="楷体" w:hAnsi="楷体" w:eastAsia="楷体" w:cs="楷体"/>
          <w:color w:val="auto"/>
          <w:lang w:eastAsia="zh-CN"/>
        </w:rPr>
      </w:pPr>
      <w:r>
        <w:rPr>
          <w:rFonts w:hint="default" w:ascii="楷体" w:hAnsi="楷体" w:eastAsia="楷体" w:cs="楷体"/>
          <w:color w:val="auto"/>
          <w:lang w:eastAsia="zh-CN"/>
        </w:rPr>
        <w:t>围绕到底该由谁承担责任，三方各执己见，陷入僵局，最后三方走进</w:t>
      </w:r>
      <w:r>
        <w:rPr>
          <w:rFonts w:hint="eastAsia" w:ascii="楷体" w:hAnsi="楷体" w:eastAsia="楷体" w:cs="楷体"/>
          <w:color w:val="auto"/>
          <w:lang w:eastAsia="zh-CN"/>
        </w:rPr>
        <w:t>当地法律服务中心</w:t>
      </w:r>
      <w:r>
        <w:rPr>
          <w:rFonts w:hint="default" w:ascii="楷体" w:hAnsi="楷体" w:eastAsia="楷体" w:cs="楷体"/>
          <w:color w:val="auto"/>
          <w:lang w:eastAsia="zh-CN"/>
        </w:rPr>
        <w:t>寻求帮助。</w:t>
      </w:r>
    </w:p>
    <w:p w14:paraId="4EB22D20">
      <w:pPr>
        <w:ind w:firstLine="240" w:firstLineChars="100"/>
        <w:textAlignment w:val="center"/>
        <w:rPr>
          <w:rFonts w:hint="eastAsia" w:ascii="宋体" w:hAnsi="宋体" w:eastAsia="宋体" w:cs="宋体"/>
          <w:bCs/>
          <w:color w:val="auto"/>
          <w:szCs w:val="32"/>
          <w:lang w:eastAsia="zh-CN"/>
        </w:rPr>
      </w:pPr>
      <w:r>
        <w:rPr>
          <w:rFonts w:hint="eastAsia" w:ascii="宋体" w:hAnsi="宋体" w:eastAsia="宋体" w:cs="宋体"/>
          <w:bCs/>
          <w:color w:val="auto"/>
          <w:szCs w:val="32"/>
          <w:lang w:eastAsia="zh-CN"/>
        </w:rPr>
        <w:t>假如你是一名法律服务工作者</w:t>
      </w:r>
      <w:r>
        <w:rPr>
          <w:rFonts w:hint="default" w:ascii="宋体" w:hAnsi="宋体" w:eastAsia="宋体" w:cs="宋体"/>
          <w:bCs/>
          <w:color w:val="auto"/>
          <w:szCs w:val="32"/>
          <w:lang w:eastAsia="zh-CN"/>
        </w:rPr>
        <w:t>，运用法律与生活知识，对</w:t>
      </w:r>
      <w:r>
        <w:rPr>
          <w:rFonts w:hint="eastAsia" w:ascii="宋体" w:hAnsi="宋体" w:eastAsia="宋体" w:cs="宋体"/>
          <w:bCs/>
          <w:color w:val="auto"/>
          <w:szCs w:val="32"/>
          <w:lang w:eastAsia="zh-CN"/>
        </w:rPr>
        <w:t>上述案例中</w:t>
      </w:r>
      <w:r>
        <w:rPr>
          <w:rFonts w:hint="default" w:ascii="宋体" w:hAnsi="宋体" w:eastAsia="宋体" w:cs="宋体"/>
          <w:bCs/>
          <w:color w:val="auto"/>
          <w:szCs w:val="32"/>
          <w:lang w:eastAsia="zh-CN"/>
        </w:rPr>
        <w:t>当事</w:t>
      </w:r>
      <w:r>
        <w:rPr>
          <w:rFonts w:hint="eastAsia" w:ascii="宋体" w:hAnsi="宋体" w:eastAsia="宋体" w:cs="宋体"/>
          <w:bCs/>
          <w:color w:val="auto"/>
          <w:szCs w:val="32"/>
          <w:lang w:eastAsia="zh-CN"/>
        </w:rPr>
        <w:t>人各方</w:t>
      </w:r>
      <w:r>
        <w:rPr>
          <w:rFonts w:hint="default" w:ascii="宋体" w:hAnsi="宋体" w:eastAsia="宋体" w:cs="宋体"/>
          <w:bCs/>
          <w:color w:val="auto"/>
          <w:szCs w:val="32"/>
          <w:lang w:eastAsia="zh-CN"/>
        </w:rPr>
        <w:t>的观点进行评析。</w:t>
      </w:r>
      <w:r>
        <w:rPr>
          <w:rFonts w:hint="eastAsia" w:ascii="宋体" w:hAnsi="宋体" w:eastAsia="宋体" w:cs="宋体"/>
          <w:bCs/>
          <w:color w:val="auto"/>
          <w:szCs w:val="32"/>
          <w:lang w:eastAsia="zh-CN"/>
        </w:rPr>
        <w:t>（</w:t>
      </w:r>
      <w:r>
        <w:rPr>
          <w:rFonts w:hint="eastAsia" w:ascii="宋体" w:hAnsi="宋体" w:eastAsia="宋体" w:cs="宋体"/>
          <w:bCs/>
          <w:color w:val="auto"/>
          <w:szCs w:val="32"/>
          <w:lang w:val="en-US" w:eastAsia="zh-CN"/>
        </w:rPr>
        <w:t>8分</w:t>
      </w:r>
      <w:r>
        <w:rPr>
          <w:rFonts w:hint="eastAsia" w:ascii="宋体" w:hAnsi="宋体" w:eastAsia="宋体" w:cs="宋体"/>
          <w:bCs/>
          <w:color w:val="auto"/>
          <w:szCs w:val="32"/>
          <w:lang w:eastAsia="zh-CN"/>
        </w:rPr>
        <w:t>）</w:t>
      </w:r>
    </w:p>
    <w:p w14:paraId="76362F58">
      <w:pPr>
        <w:ind w:firstLine="240" w:firstLineChars="100"/>
        <w:textAlignment w:val="center"/>
        <w:rPr>
          <w:rFonts w:hint="eastAsia" w:ascii="宋体" w:hAnsi="宋体" w:eastAsia="宋体" w:cs="宋体"/>
          <w:bCs/>
          <w:color w:val="auto"/>
          <w:szCs w:val="32"/>
          <w:lang w:eastAsia="zh-CN"/>
        </w:rPr>
      </w:pPr>
    </w:p>
    <w:p w14:paraId="2E47E1A4">
      <w:pPr>
        <w:numPr>
          <w:ilvl w:val="0"/>
          <w:numId w:val="2"/>
        </w:numPr>
        <w:textAlignment w:val="center"/>
        <w:rPr>
          <w:rFonts w:hint="default" w:ascii="楷体" w:hAnsi="楷体" w:eastAsia="楷体" w:cs="楷体"/>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12分</w:t>
      </w:r>
      <w:r>
        <w:rPr>
          <w:rFonts w:hint="eastAsia" w:ascii="楷体" w:hAnsi="楷体" w:eastAsia="楷体" w:cs="楷体"/>
          <w:color w:val="auto"/>
          <w:lang w:eastAsia="zh-CN"/>
        </w:rPr>
        <w:t>）</w:t>
      </w:r>
      <w:r>
        <w:rPr>
          <w:rFonts w:hint="default" w:ascii="楷体" w:hAnsi="楷体" w:eastAsia="楷体" w:cs="楷体"/>
          <w:color w:val="auto"/>
          <w:lang w:eastAsia="zh-CN"/>
        </w:rPr>
        <w:t>以法理情化解“心结”</w:t>
      </w:r>
    </w:p>
    <w:p w14:paraId="20534FF5">
      <w:pPr>
        <w:ind w:firstLine="480" w:firstLineChars="200"/>
        <w:textAlignment w:val="center"/>
        <w:rPr>
          <w:rFonts w:hint="default" w:ascii="楷体" w:hAnsi="楷体" w:eastAsia="楷体" w:cs="楷体"/>
          <w:color w:val="auto"/>
          <w:lang w:eastAsia="zh-CN"/>
        </w:rPr>
      </w:pPr>
      <w:r>
        <w:rPr>
          <w:rFonts w:hint="default" w:ascii="楷体" w:hAnsi="楷体" w:eastAsia="楷体" w:cs="楷体"/>
          <w:color w:val="auto"/>
          <w:lang w:eastAsia="zh-CN"/>
        </w:rPr>
        <w:t>【案件缘起】</w:t>
      </w:r>
    </w:p>
    <w:p w14:paraId="04C284D4">
      <w:pPr>
        <w:ind w:firstLine="480" w:firstLineChars="200"/>
        <w:textAlignment w:val="center"/>
        <w:rPr>
          <w:rFonts w:hint="default" w:ascii="楷体" w:hAnsi="楷体" w:eastAsia="楷体" w:cs="楷体"/>
          <w:color w:val="auto"/>
          <w:lang w:eastAsia="zh-CN"/>
        </w:rPr>
      </w:pPr>
      <w:r>
        <w:rPr>
          <w:rFonts w:hint="default" w:ascii="楷体" w:hAnsi="楷体" w:eastAsia="楷体" w:cs="楷体"/>
          <w:color w:val="auto"/>
          <w:lang w:eastAsia="zh-CN"/>
        </w:rPr>
        <w:t>杨先生在入职某物流公司时，就劳动报酬及劳动安全等问题，与公司达成口头协议。一次货物运输途中，杨先生遭遇了事故，导致足跟粉碎性骨折。关于治疗费用的承担问题，物流公司认为，当初杨先生拒绝公司为其缴纳社会保险费、因此拒绝了杨先生的赔偿请求。协商无果后，杨先生向当地人力资源和社会保障局提出了工伤认定申请，该局认定为工伤。对此，物流公司表示异议，并提起了行政复议。</w:t>
      </w:r>
    </w:p>
    <w:p w14:paraId="0056C067">
      <w:pPr>
        <w:ind w:firstLine="480" w:firstLineChars="200"/>
        <w:textAlignment w:val="center"/>
        <w:rPr>
          <w:rFonts w:hint="default" w:ascii="楷体" w:hAnsi="楷体" w:eastAsia="楷体" w:cs="楷体"/>
          <w:color w:val="auto"/>
          <w:lang w:eastAsia="zh-CN"/>
        </w:rPr>
      </w:pPr>
      <w:r>
        <w:rPr>
          <w:rFonts w:hint="default" w:ascii="楷体" w:hAnsi="楷体" w:eastAsia="楷体" w:cs="楷体"/>
          <w:color w:val="auto"/>
          <w:lang w:eastAsia="zh-CN"/>
        </w:rPr>
        <w:t>【矛盾化解】</w:t>
      </w:r>
    </w:p>
    <w:p w14:paraId="046F20F9">
      <w:pPr>
        <w:ind w:firstLine="480" w:firstLineChars="200"/>
        <w:textAlignment w:val="center"/>
        <w:rPr>
          <w:rFonts w:hint="default" w:ascii="楷体" w:hAnsi="楷体" w:eastAsia="楷体" w:cs="楷体"/>
          <w:color w:val="auto"/>
          <w:lang w:eastAsia="zh-CN"/>
        </w:rPr>
      </w:pPr>
      <w:r>
        <w:rPr>
          <w:rFonts w:hint="default" w:ascii="楷体" w:hAnsi="楷体" w:eastAsia="楷体" w:cs="楷体"/>
          <w:color w:val="auto"/>
          <w:lang w:eastAsia="zh-CN"/>
        </w:rPr>
        <w:t>经当地人民政府行政复议办公室调查，伤者杨先生家庭经济困难、伤情严重、面临后续治疗和劳动力下降等现实情况，同时，申请公司也有调解意向。随后，复议办组织县检察院、县人社局、双方当事人召开协商会，通过释法说理等方式，引导双方达成了工伤赔偿协议，申请人自愿撤回行政复议申请。当地用“复议+调解”方式，妥善化解了争议。</w:t>
      </w:r>
    </w:p>
    <w:p w14:paraId="74C6C0A9">
      <w:pPr>
        <w:ind w:firstLine="240" w:firstLineChars="100"/>
        <w:textAlignment w:val="center"/>
        <w:rPr>
          <w:rFonts w:hint="eastAsia" w:ascii="宋体" w:hAnsi="宋体" w:eastAsia="宋体" w:cs="宋体"/>
          <w:bCs/>
          <w:color w:val="auto"/>
          <w:szCs w:val="32"/>
          <w:lang w:eastAsia="zh-CN"/>
        </w:rPr>
      </w:pPr>
      <w:r>
        <w:rPr>
          <w:rFonts w:hint="eastAsia" w:ascii="宋体" w:hAnsi="宋体" w:eastAsia="宋体" w:cs="宋体"/>
          <w:bCs/>
          <w:color w:val="auto"/>
          <w:szCs w:val="32"/>
          <w:lang w:eastAsia="zh-CN"/>
        </w:rPr>
        <w:t>（</w:t>
      </w:r>
      <w:r>
        <w:rPr>
          <w:rFonts w:hint="eastAsia" w:ascii="宋体" w:hAnsi="宋体" w:eastAsia="宋体" w:cs="宋体"/>
          <w:bCs/>
          <w:color w:val="auto"/>
          <w:szCs w:val="32"/>
          <w:lang w:val="en-US" w:eastAsia="zh-CN"/>
        </w:rPr>
        <w:t>1</w:t>
      </w:r>
      <w:r>
        <w:rPr>
          <w:rFonts w:hint="eastAsia" w:ascii="宋体" w:hAnsi="宋体" w:eastAsia="宋体" w:cs="宋体"/>
          <w:bCs/>
          <w:color w:val="auto"/>
          <w:szCs w:val="32"/>
          <w:lang w:eastAsia="zh-CN"/>
        </w:rPr>
        <w:t>）</w:t>
      </w:r>
      <w:r>
        <w:rPr>
          <w:rFonts w:hint="default" w:ascii="宋体" w:hAnsi="宋体" w:eastAsia="宋体" w:cs="宋体"/>
          <w:bCs/>
          <w:color w:val="auto"/>
          <w:szCs w:val="32"/>
          <w:lang w:eastAsia="zh-CN"/>
        </w:rPr>
        <w:t>结合材料，运用法律与生活知识，回答下列问题</w:t>
      </w:r>
      <w:r>
        <w:rPr>
          <w:rFonts w:hint="eastAsia" w:ascii="宋体" w:hAnsi="宋体" w:eastAsia="宋体" w:cs="宋体"/>
          <w:bCs/>
          <w:color w:val="auto"/>
          <w:szCs w:val="32"/>
          <w:lang w:eastAsia="zh-CN"/>
        </w:rPr>
        <w:t>（</w:t>
      </w:r>
      <w:r>
        <w:rPr>
          <w:rFonts w:hint="eastAsia" w:ascii="宋体" w:hAnsi="宋体" w:eastAsia="宋体" w:cs="宋体"/>
          <w:bCs/>
          <w:color w:val="auto"/>
          <w:szCs w:val="32"/>
          <w:lang w:val="en-US" w:eastAsia="zh-CN"/>
        </w:rPr>
        <w:t>6分</w:t>
      </w:r>
      <w:r>
        <w:rPr>
          <w:rFonts w:hint="eastAsia" w:ascii="宋体" w:hAnsi="宋体" w:eastAsia="宋体" w:cs="宋体"/>
          <w:bCs/>
          <w:color w:val="auto"/>
          <w:szCs w:val="32"/>
          <w:lang w:eastAsia="zh-CN"/>
        </w:rPr>
        <w:t>）</w:t>
      </w:r>
    </w:p>
    <w:p w14:paraId="0948BA8F">
      <w:pPr>
        <w:ind w:firstLine="240" w:firstLineChars="100"/>
        <w:textAlignment w:val="center"/>
        <w:rPr>
          <w:rFonts w:hint="eastAsia" w:ascii="宋体" w:hAnsi="宋体" w:eastAsia="宋体" w:cs="宋体"/>
          <w:bCs/>
          <w:color w:val="auto"/>
          <w:szCs w:val="32"/>
          <w:lang w:val="en-US" w:eastAsia="zh-CN"/>
        </w:rPr>
      </w:pPr>
      <w:r>
        <w:rPr>
          <w:rFonts w:hint="eastAsia" w:ascii="宋体" w:hAnsi="宋体" w:eastAsia="宋体" w:cs="宋体"/>
          <w:bCs/>
          <w:color w:val="auto"/>
          <w:szCs w:val="32"/>
          <w:lang w:eastAsia="zh-CN"/>
        </w:rPr>
        <w:t>①</w:t>
      </w:r>
      <w:r>
        <w:rPr>
          <w:rFonts w:hint="default" w:ascii="宋体" w:hAnsi="宋体" w:eastAsia="宋体" w:cs="宋体"/>
          <w:bCs/>
          <w:color w:val="auto"/>
          <w:szCs w:val="32"/>
          <w:lang w:eastAsia="zh-CN"/>
        </w:rPr>
        <w:t>杨先生与物流公司达成的口头协议</w:t>
      </w:r>
      <w:r>
        <w:rPr>
          <w:rFonts w:hint="eastAsia" w:ascii="宋体" w:hAnsi="宋体" w:eastAsia="宋体" w:cs="宋体"/>
          <w:bCs/>
          <w:color w:val="auto"/>
          <w:szCs w:val="32"/>
          <w:lang w:eastAsia="zh-CN"/>
        </w:rPr>
        <w:t>有效吗？</w:t>
      </w:r>
      <w:r>
        <w:rPr>
          <w:rFonts w:hint="eastAsia" w:ascii="宋体" w:hAnsi="宋体" w:eastAsia="宋体" w:cs="宋体"/>
          <w:bCs/>
          <w:color w:val="auto"/>
          <w:szCs w:val="32"/>
          <w:lang w:val="en-US" w:eastAsia="zh-CN"/>
        </w:rPr>
        <w:t xml:space="preserve">  （2分） </w:t>
      </w:r>
    </w:p>
    <w:p w14:paraId="27C10CB9">
      <w:pPr>
        <w:ind w:firstLine="240" w:firstLineChars="100"/>
        <w:textAlignment w:val="center"/>
        <w:rPr>
          <w:rFonts w:hint="eastAsia" w:ascii="宋体" w:hAnsi="宋体" w:eastAsia="宋体" w:cs="宋体"/>
          <w:bCs/>
          <w:color w:val="auto"/>
          <w:szCs w:val="32"/>
          <w:lang w:eastAsia="zh-CN"/>
        </w:rPr>
      </w:pPr>
      <w:r>
        <w:rPr>
          <w:rFonts w:hint="eastAsia" w:ascii="宋体" w:hAnsi="宋体" w:eastAsia="宋体" w:cs="宋体"/>
          <w:bCs/>
          <w:color w:val="auto"/>
          <w:szCs w:val="32"/>
          <w:lang w:eastAsia="zh-CN"/>
        </w:rPr>
        <w:t>②</w:t>
      </w:r>
      <w:r>
        <w:rPr>
          <w:rFonts w:hint="default" w:ascii="宋体" w:hAnsi="宋体" w:eastAsia="宋体" w:cs="宋体"/>
          <w:bCs/>
          <w:color w:val="auto"/>
          <w:szCs w:val="32"/>
          <w:lang w:eastAsia="zh-CN"/>
        </w:rPr>
        <w:t>物流公司拒绝杨先生工伤赔偿的理由</w:t>
      </w:r>
      <w:r>
        <w:rPr>
          <w:rFonts w:hint="eastAsia" w:ascii="宋体" w:hAnsi="宋体" w:eastAsia="宋体" w:cs="宋体"/>
          <w:bCs/>
          <w:color w:val="auto"/>
          <w:szCs w:val="32"/>
          <w:lang w:eastAsia="zh-CN"/>
        </w:rPr>
        <w:t>为何</w:t>
      </w:r>
      <w:r>
        <w:rPr>
          <w:rFonts w:hint="default" w:ascii="宋体" w:hAnsi="宋体" w:eastAsia="宋体" w:cs="宋体"/>
          <w:bCs/>
          <w:color w:val="auto"/>
          <w:szCs w:val="32"/>
          <w:lang w:eastAsia="zh-CN"/>
        </w:rPr>
        <w:t>不成立</w:t>
      </w:r>
      <w:r>
        <w:rPr>
          <w:rFonts w:hint="eastAsia" w:ascii="宋体" w:hAnsi="宋体" w:eastAsia="宋体" w:cs="宋体"/>
          <w:bCs/>
          <w:color w:val="auto"/>
          <w:szCs w:val="32"/>
          <w:lang w:eastAsia="zh-CN"/>
        </w:rPr>
        <w:t>？（</w:t>
      </w:r>
      <w:r>
        <w:rPr>
          <w:rFonts w:hint="eastAsia" w:ascii="宋体" w:hAnsi="宋体" w:eastAsia="宋体" w:cs="宋体"/>
          <w:bCs/>
          <w:color w:val="auto"/>
          <w:szCs w:val="32"/>
          <w:lang w:val="en-US" w:eastAsia="zh-CN"/>
        </w:rPr>
        <w:t>2分</w:t>
      </w:r>
      <w:r>
        <w:rPr>
          <w:rFonts w:hint="eastAsia" w:ascii="宋体" w:hAnsi="宋体" w:eastAsia="宋体" w:cs="宋体"/>
          <w:bCs/>
          <w:color w:val="auto"/>
          <w:szCs w:val="32"/>
          <w:lang w:eastAsia="zh-CN"/>
        </w:rPr>
        <w:t>）</w:t>
      </w:r>
    </w:p>
    <w:p w14:paraId="68BB66BF">
      <w:pPr>
        <w:ind w:firstLine="240" w:firstLineChars="100"/>
        <w:textAlignment w:val="center"/>
        <w:rPr>
          <w:rFonts w:hint="eastAsia" w:ascii="宋体" w:hAnsi="宋体" w:eastAsia="宋体" w:cs="宋体"/>
          <w:bCs/>
          <w:color w:val="auto"/>
          <w:szCs w:val="32"/>
          <w:lang w:eastAsia="zh-CN"/>
        </w:rPr>
      </w:pPr>
      <w:r>
        <w:rPr>
          <w:rFonts w:hint="eastAsia" w:ascii="宋体" w:hAnsi="宋体" w:eastAsia="宋体" w:cs="宋体"/>
          <w:bCs/>
          <w:color w:val="auto"/>
          <w:szCs w:val="32"/>
          <w:lang w:eastAsia="zh-CN"/>
        </w:rPr>
        <w:t>③针对物流公司的异议，可否通过仲裁的方式解决？还可以通过什么途径解决？（</w:t>
      </w:r>
      <w:r>
        <w:rPr>
          <w:rFonts w:hint="eastAsia" w:ascii="宋体" w:hAnsi="宋体" w:eastAsia="宋体" w:cs="宋体"/>
          <w:bCs/>
          <w:color w:val="auto"/>
          <w:szCs w:val="32"/>
          <w:lang w:val="en-US" w:eastAsia="zh-CN"/>
        </w:rPr>
        <w:t>2分</w:t>
      </w:r>
      <w:r>
        <w:rPr>
          <w:rFonts w:hint="eastAsia" w:ascii="宋体" w:hAnsi="宋体" w:eastAsia="宋体" w:cs="宋体"/>
          <w:bCs/>
          <w:color w:val="auto"/>
          <w:szCs w:val="32"/>
          <w:lang w:eastAsia="zh-CN"/>
        </w:rPr>
        <w:t>）</w:t>
      </w:r>
    </w:p>
    <w:p w14:paraId="708042A6">
      <w:pPr>
        <w:ind w:firstLine="240" w:firstLineChars="100"/>
        <w:textAlignment w:val="center"/>
        <w:rPr>
          <w:rFonts w:hint="eastAsia" w:ascii="宋体" w:hAnsi="宋体" w:eastAsia="宋体" w:cs="宋体"/>
          <w:bCs/>
          <w:color w:val="auto"/>
          <w:szCs w:val="32"/>
          <w:lang w:eastAsia="zh-CN"/>
        </w:rPr>
      </w:pPr>
      <w:r>
        <w:rPr>
          <w:rFonts w:hint="eastAsia" w:ascii="宋体" w:hAnsi="宋体" w:eastAsia="宋体" w:cs="宋体"/>
          <w:bCs/>
          <w:color w:val="auto"/>
          <w:szCs w:val="32"/>
          <w:lang w:eastAsia="zh-CN"/>
        </w:rPr>
        <w:t>（</w:t>
      </w:r>
      <w:r>
        <w:rPr>
          <w:rFonts w:hint="eastAsia" w:ascii="宋体" w:hAnsi="宋体" w:eastAsia="宋体" w:cs="宋体"/>
          <w:bCs/>
          <w:color w:val="auto"/>
          <w:szCs w:val="32"/>
          <w:lang w:val="en-US" w:eastAsia="zh-CN"/>
        </w:rPr>
        <w:t>2</w:t>
      </w:r>
      <w:r>
        <w:rPr>
          <w:rFonts w:hint="eastAsia" w:ascii="宋体" w:hAnsi="宋体" w:eastAsia="宋体" w:cs="宋体"/>
          <w:bCs/>
          <w:color w:val="auto"/>
          <w:szCs w:val="32"/>
          <w:lang w:eastAsia="zh-CN"/>
        </w:rPr>
        <w:t>）</w:t>
      </w:r>
      <w:r>
        <w:rPr>
          <w:rFonts w:hint="default" w:ascii="宋体" w:hAnsi="宋体" w:eastAsia="宋体" w:cs="宋体"/>
          <w:bCs/>
          <w:color w:val="auto"/>
          <w:szCs w:val="32"/>
          <w:lang w:eastAsia="zh-CN"/>
        </w:rPr>
        <w:t>结合本案例，简要说明“复议+调解”妥善化解争议</w:t>
      </w:r>
      <w:r>
        <w:rPr>
          <w:rFonts w:hint="eastAsia" w:ascii="宋体" w:hAnsi="宋体" w:eastAsia="宋体" w:cs="宋体"/>
          <w:bCs/>
          <w:color w:val="auto"/>
          <w:szCs w:val="32"/>
          <w:lang w:eastAsia="zh-CN"/>
        </w:rPr>
        <w:t>的价值取向</w:t>
      </w:r>
      <w:r>
        <w:rPr>
          <w:rFonts w:hint="default" w:ascii="宋体" w:hAnsi="宋体" w:eastAsia="宋体" w:cs="宋体"/>
          <w:bCs/>
          <w:color w:val="auto"/>
          <w:szCs w:val="32"/>
          <w:lang w:eastAsia="zh-CN"/>
        </w:rPr>
        <w:t>。</w:t>
      </w:r>
      <w:r>
        <w:rPr>
          <w:rFonts w:hint="eastAsia" w:ascii="宋体" w:hAnsi="宋体" w:eastAsia="宋体" w:cs="宋体"/>
          <w:bCs/>
          <w:color w:val="auto"/>
          <w:szCs w:val="32"/>
          <w:lang w:eastAsia="zh-CN"/>
        </w:rPr>
        <w:t>（</w:t>
      </w:r>
      <w:r>
        <w:rPr>
          <w:rFonts w:hint="eastAsia" w:ascii="宋体" w:hAnsi="宋体" w:eastAsia="宋体" w:cs="宋体"/>
          <w:bCs/>
          <w:color w:val="auto"/>
          <w:szCs w:val="32"/>
          <w:lang w:val="en-US" w:eastAsia="zh-CN"/>
        </w:rPr>
        <w:t>6分</w:t>
      </w:r>
      <w:r>
        <w:rPr>
          <w:rFonts w:hint="eastAsia" w:ascii="宋体" w:hAnsi="宋体" w:eastAsia="宋体" w:cs="宋体"/>
          <w:bCs/>
          <w:color w:val="auto"/>
          <w:szCs w:val="32"/>
          <w:lang w:eastAsia="zh-CN"/>
        </w:rPr>
        <w:t>）</w:t>
      </w:r>
    </w:p>
    <w:p w14:paraId="16829CA0">
      <w:pPr>
        <w:textAlignment w:val="center"/>
        <w:rPr>
          <w:rFonts w:hint="eastAsia" w:ascii="楷体" w:hAnsi="楷体" w:eastAsia="楷体" w:cs="楷体"/>
          <w:color w:val="auto"/>
          <w:lang w:val="en-US" w:eastAsia="zh-CN"/>
        </w:rPr>
      </w:pPr>
    </w:p>
    <w:p w14:paraId="1BE64100">
      <w:pPr>
        <w:textAlignment w:val="center"/>
        <w:rPr>
          <w:rFonts w:hint="eastAsia" w:ascii="楷体" w:hAnsi="楷体" w:eastAsia="楷体" w:cs="楷体"/>
          <w:color w:val="auto"/>
          <w:lang w:val="en-US" w:eastAsia="zh-CN"/>
        </w:rPr>
      </w:pPr>
    </w:p>
    <w:p w14:paraId="21A4B762">
      <w:pPr>
        <w:textAlignment w:val="center"/>
        <w:rPr>
          <w:rFonts w:hint="default" w:ascii="楷体" w:hAnsi="楷体" w:eastAsia="楷体" w:cs="楷体"/>
          <w:color w:val="auto"/>
          <w:lang w:eastAsia="zh-CN"/>
        </w:rPr>
      </w:pPr>
      <w:r>
        <w:rPr>
          <w:rFonts w:hint="eastAsia" w:ascii="楷体" w:hAnsi="楷体" w:eastAsia="楷体" w:cs="楷体"/>
          <w:color w:val="auto"/>
          <w:lang w:val="en-US" w:eastAsia="zh-CN"/>
        </w:rPr>
        <w:t>34</w:t>
      </w:r>
      <w:r>
        <w:rPr>
          <w:rFonts w:hint="default" w:ascii="楷体" w:hAnsi="楷体" w:eastAsia="楷体" w:cs="楷体"/>
          <w:color w:val="auto"/>
          <w:lang w:val="en-US" w:eastAsia="zh-CN"/>
        </w:rPr>
        <w:t>．</w:t>
      </w:r>
      <w:r>
        <w:rPr>
          <w:rFonts w:hint="eastAsia" w:ascii="楷体" w:hAnsi="楷体" w:eastAsia="楷体" w:cs="楷体"/>
          <w:color w:val="auto"/>
          <w:lang w:val="en-US" w:eastAsia="zh-CN"/>
        </w:rPr>
        <w:t>（8分）</w:t>
      </w:r>
      <w:bookmarkStart w:id="0" w:name="_GoBack"/>
      <w:bookmarkEnd w:id="0"/>
      <w:r>
        <w:rPr>
          <w:rFonts w:hint="default" w:ascii="楷体" w:hAnsi="楷体" w:eastAsia="楷体" w:cs="楷体"/>
          <w:color w:val="auto"/>
          <w:lang w:eastAsia="zh-CN"/>
        </w:rPr>
        <w:t>某校高三（1）班学生以“消费环境与国内大循环”为议题开展探究性学习。下面是同学们搜集整理的材料：</w:t>
      </w:r>
    </w:p>
    <w:tbl>
      <w:tblPr>
        <w:tblStyle w:val="7"/>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19"/>
        <w:gridCol w:w="8361"/>
      </w:tblGrid>
      <w:tr w14:paraId="1B31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619" w:hRule="atLeast"/>
        </w:trPr>
        <w:tc>
          <w:tcPr>
            <w:tcW w:w="101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99A12BD">
            <w:pPr>
              <w:spacing w:line="360" w:lineRule="auto"/>
              <w:jc w:val="both"/>
              <w:textAlignment w:val="center"/>
              <w:rPr>
                <w:color w:val="auto"/>
              </w:rPr>
            </w:pPr>
            <w:r>
              <w:rPr>
                <w:rFonts w:hint="default" w:ascii="楷体" w:hAnsi="楷体" w:eastAsia="楷体" w:cs="楷体"/>
                <w:color w:val="auto"/>
                <w:lang w:eastAsia="zh-CN"/>
              </w:rPr>
              <w:t>材料一</w:t>
            </w:r>
          </w:p>
        </w:tc>
        <w:tc>
          <w:tcPr>
            <w:tcW w:w="836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4DE6483">
            <w:pPr>
              <w:ind w:firstLine="480" w:firstLineChars="200"/>
              <w:textAlignment w:val="center"/>
              <w:rPr>
                <w:color w:val="auto"/>
              </w:rPr>
            </w:pPr>
            <w:r>
              <w:rPr>
                <w:rFonts w:hint="default" w:ascii="楷体" w:hAnsi="楷体" w:eastAsia="楷体" w:cs="楷体"/>
                <w:color w:val="auto"/>
                <w:lang w:eastAsia="zh-CN"/>
              </w:rPr>
              <w:t>智能穿戴、脑机接口、机器人等新技术新产品，低空旅游、航空运动、无人机跟拍等新消费新场景……这些新事物，消费者是否愿意尝试，与监管能否及时完善高度相关。某地市场监管局通过包容审慎的监管方式，允许企业在受控条件下测试新产品、新服务或新商业模式，而无需立即满足所有常规监管要求，支持创新主体在可控范围内开展试点，探索发展新模式、新路径。</w:t>
            </w:r>
          </w:p>
        </w:tc>
      </w:tr>
      <w:tr w14:paraId="1C2E4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727" w:hRule="atLeast"/>
        </w:trPr>
        <w:tc>
          <w:tcPr>
            <w:tcW w:w="101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90830A6">
            <w:pPr>
              <w:spacing w:line="360" w:lineRule="auto"/>
              <w:jc w:val="both"/>
              <w:textAlignment w:val="center"/>
              <w:rPr>
                <w:color w:val="auto"/>
              </w:rPr>
            </w:pPr>
            <w:r>
              <w:rPr>
                <w:rFonts w:hint="default" w:ascii="楷体" w:hAnsi="楷体" w:eastAsia="楷体" w:cs="楷体"/>
                <w:color w:val="auto"/>
                <w:lang w:eastAsia="zh-CN"/>
              </w:rPr>
              <w:t>材料二</w:t>
            </w:r>
          </w:p>
        </w:tc>
        <w:tc>
          <w:tcPr>
            <w:tcW w:w="836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7BC0814">
            <w:pPr>
              <w:ind w:firstLine="480" w:firstLineChars="200"/>
              <w:textAlignment w:val="center"/>
              <w:rPr>
                <w:color w:val="auto"/>
              </w:rPr>
            </w:pPr>
            <w:r>
              <w:rPr>
                <w:rFonts w:hint="default" w:ascii="楷体" w:hAnsi="楷体" w:eastAsia="楷体" w:cs="楷体"/>
                <w:color w:val="auto"/>
                <w:lang w:eastAsia="zh-CN"/>
              </w:rPr>
              <w:t>小吴刚买了3个月的键盘坏了，他联系客服退换时，对方却表示质保期已过，应自己维修。原来，该键盘的宣传图在醒目位置写着“6个月质保，可退可换”，却在底部标出一行不仔细看就看不见的很小的文字，“以3个月质保为准”。小李在某店铺花13.9元下单了名称为“买3送3”的袜子套装，但收到货后只有3双袜子。他询问客服，客服解释道，“买3送3”即字面意思，一共发3双，不是额外再赠送3双。</w:t>
            </w:r>
          </w:p>
        </w:tc>
      </w:tr>
      <w:tr w14:paraId="6308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989" w:hRule="atLeast"/>
        </w:trPr>
        <w:tc>
          <w:tcPr>
            <w:tcW w:w="101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05A7649">
            <w:pPr>
              <w:spacing w:line="360" w:lineRule="auto"/>
              <w:jc w:val="both"/>
              <w:textAlignment w:val="center"/>
              <w:rPr>
                <w:color w:val="auto"/>
              </w:rPr>
            </w:pPr>
            <w:r>
              <w:rPr>
                <w:rFonts w:hint="eastAsia" w:ascii="楷体" w:hAnsi="楷体" w:eastAsia="楷体" w:cs="楷体"/>
                <w:color w:val="auto"/>
                <w:lang w:eastAsia="zh-CN"/>
              </w:rPr>
              <w:t>材料</w:t>
            </w:r>
            <w:r>
              <w:rPr>
                <w:rFonts w:ascii="楷体" w:hAnsi="楷体" w:eastAsia="楷体" w:cs="楷体"/>
                <w:color w:val="auto"/>
              </w:rPr>
              <w:t>三</w:t>
            </w:r>
          </w:p>
        </w:tc>
        <w:tc>
          <w:tcPr>
            <w:tcW w:w="836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CF4E753">
            <w:pPr>
              <w:ind w:firstLine="480" w:firstLineChars="200"/>
              <w:textAlignment w:val="center"/>
              <w:rPr>
                <w:color w:val="auto"/>
              </w:rPr>
            </w:pPr>
            <w:r>
              <w:rPr>
                <w:rFonts w:hint="default" w:ascii="楷体" w:hAnsi="楷体" w:eastAsia="楷体" w:cs="楷体"/>
                <w:color w:val="auto"/>
                <w:lang w:eastAsia="zh-CN"/>
              </w:rPr>
              <w:t>2025年2月，国家市场监管总局等五部门印发《优化消费环境三年行动方案(2025―2027年)》，提出到2027年，全国消费环境明显优化，不断增强人民群众获得感、幸福感、安全感。</w:t>
            </w:r>
          </w:p>
        </w:tc>
      </w:tr>
    </w:tbl>
    <w:p w14:paraId="5C666CD4">
      <w:pPr>
        <w:ind w:firstLine="240" w:firstLineChars="100"/>
        <w:textAlignment w:val="center"/>
        <w:rPr>
          <w:color w:val="auto"/>
        </w:rPr>
      </w:pPr>
      <w:r>
        <w:rPr>
          <w:rFonts w:hint="default" w:ascii="宋体" w:hAnsi="宋体" w:eastAsia="宋体" w:cs="宋体"/>
          <w:bCs/>
          <w:color w:val="auto"/>
          <w:szCs w:val="32"/>
          <w:lang w:eastAsia="zh-CN"/>
        </w:rPr>
        <w:t>结合材料，运用经济与社会、法律与生活的知识，说明优化消费环境是如何促进国内大循环的。</w:t>
      </w:r>
      <w:r>
        <w:rPr>
          <w:rFonts w:hint="eastAsia" w:ascii="宋体" w:hAnsi="宋体" w:eastAsia="宋体" w:cs="宋体"/>
          <w:bCs/>
          <w:color w:val="auto"/>
          <w:szCs w:val="32"/>
          <w:lang w:eastAsia="zh-CN"/>
        </w:rPr>
        <w:t>（</w:t>
      </w:r>
      <w:r>
        <w:rPr>
          <w:rFonts w:hint="eastAsia" w:ascii="宋体" w:hAnsi="宋体" w:eastAsia="宋体" w:cs="宋体"/>
          <w:bCs/>
          <w:color w:val="auto"/>
          <w:szCs w:val="32"/>
          <w:lang w:val="en-US" w:eastAsia="zh-CN"/>
        </w:rPr>
        <w:t>8分</w:t>
      </w:r>
      <w:r>
        <w:rPr>
          <w:rFonts w:hint="eastAsia" w:ascii="宋体" w:hAnsi="宋体" w:eastAsia="宋体" w:cs="宋体"/>
          <w:bCs/>
          <w:color w:val="auto"/>
          <w:szCs w:val="32"/>
          <w:lang w:eastAsia="zh-CN"/>
        </w:rPr>
        <w:t>）</w:t>
      </w:r>
    </w:p>
    <w:sectPr>
      <w:headerReference r:id="rId5" w:type="first"/>
      <w:footerReference r:id="rId8" w:type="first"/>
      <w:headerReference r:id="rId3" w:type="default"/>
      <w:footerReference r:id="rId6" w:type="default"/>
      <w:headerReference r:id="rId4" w:type="even"/>
      <w:footerReference r:id="rId7" w:type="even"/>
      <w:pgSz w:w="11906" w:h="16838"/>
      <w:pgMar w:top="1100" w:right="1080" w:bottom="110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767CD">
    <w:pPr>
      <w:jc w:val="center"/>
      <w:rPr>
        <w:lang w:eastAsia="zh-CN"/>
      </w:rPr>
    </w:pPr>
    <w:r>
      <w:rPr>
        <w:rFonts w:hint="eastAsia"/>
        <w:lang w:eastAsia="zh-CN"/>
      </w:rPr>
      <w:t>试卷第</w:t>
    </w:r>
    <w:r>
      <w:fldChar w:fldCharType="begin"/>
    </w:r>
    <w:r>
      <w:rPr>
        <w:lang w:eastAsia="zh-CN"/>
      </w:rPr>
      <w:instrText xml:space="preserve"> =</w:instrText>
    </w:r>
    <w:r>
      <w:fldChar w:fldCharType="begin"/>
    </w:r>
    <w:r>
      <w:rPr>
        <w:lang w:eastAsia="zh-CN"/>
      </w:rPr>
      <w:instrText xml:space="preserve">page  </w:instrText>
    </w:r>
    <w:r>
      <w:fldChar w:fldCharType="separate"/>
    </w:r>
    <w:r>
      <w:instrText xml:space="preserve">8</w:instrText>
    </w:r>
    <w:r>
      <w:fldChar w:fldCharType="end"/>
    </w:r>
    <w:r>
      <w:rPr>
        <w:lang w:eastAsia="zh-CN"/>
      </w:rPr>
      <w:instrText xml:space="preserve"> </w:instrText>
    </w:r>
    <w:r>
      <w:fldChar w:fldCharType="separate"/>
    </w:r>
    <w:r>
      <w:rPr>
        <w:lang w:eastAsia="zh-CN"/>
      </w:rPr>
      <w:t>8</w:t>
    </w:r>
    <w:r>
      <w:fldChar w:fldCharType="end"/>
    </w:r>
    <w:r>
      <w:rPr>
        <w:rFonts w:hint="eastAsia"/>
        <w:lang w:eastAsia="zh-CN"/>
      </w:rPr>
      <w:t>页，共</w:t>
    </w:r>
    <w:r>
      <w:fldChar w:fldCharType="begin"/>
    </w:r>
    <w:r>
      <w:rPr>
        <w:lang w:eastAsia="zh-CN"/>
      </w:rPr>
      <w:instrText xml:space="preserve"> =</w:instrText>
    </w:r>
    <w:r>
      <w:fldChar w:fldCharType="begin"/>
    </w:r>
    <w:r>
      <w:rPr>
        <w:lang w:eastAsia="zh-CN"/>
      </w:rPr>
      <w:instrText xml:space="preserve">sectionpages  </w:instrText>
    </w:r>
    <w:r>
      <w:fldChar w:fldCharType="separate"/>
    </w:r>
    <w:r>
      <w:instrText xml:space="preserve">8</w:instrText>
    </w:r>
    <w:r>
      <w:fldChar w:fldCharType="end"/>
    </w:r>
    <w:r>
      <w:rPr>
        <w:lang w:eastAsia="zh-CN"/>
      </w:rPr>
      <w:instrText xml:space="preserve"> </w:instrText>
    </w:r>
    <w:r>
      <w:fldChar w:fldCharType="separate"/>
    </w:r>
    <w:r>
      <w:rPr>
        <w:lang w:eastAsia="zh-CN"/>
      </w:rPr>
      <w:t>8</w:t>
    </w:r>
    <w:r>
      <w:fldChar w:fldCharType="end"/>
    </w:r>
    <w:r>
      <w:rPr>
        <w:rFonts w:hint="eastAsia"/>
        <w:lang w:eastAsia="zh-CN"/>
      </w:rPr>
      <w:t>页</w:t>
    </w:r>
  </w:p>
  <w:p w14:paraId="03F5D5AE">
    <w:pPr>
      <w:tabs>
        <w:tab w:val="center" w:pos="4153"/>
        <w:tab w:val="right" w:pos="8306"/>
      </w:tabs>
      <w:snapToGrid w:val="0"/>
      <w:rPr>
        <w:sz w:val="2"/>
        <w:szCs w:val="2"/>
        <w:lang w:eastAsia="zh-CN"/>
      </w:rPr>
    </w:pPr>
    <w:r>
      <w:rPr>
        <w:color w:val="FFFFFF"/>
        <w:sz w:val="2"/>
        <w:szCs w:val="2"/>
      </w:rPr>
      <w:pict>
        <v:shape id="PowerPlusWaterMarkObject1453549720" o:spid="_x0000_s3073" o:spt="136" alt="学科网 zxxk.com" type="#_x0000_t136" style="position:absolute;left:0pt;margin-left:158.95pt;margin-top:407.9pt;height:2.85pt;width:2.85pt;mso-position-horizontal-relative:margin;mso-position-vertical-relative:margin;rotation:20643840f;z-index:-251655168;mso-width-relative:page;mso-height-relative:page;" stroked="f" coordsize="21600,21600" o:allowincell="f">
          <v:path/>
          <v:fill opacity="32768f" focussize="0,0"/>
          <v:stroke on="f"/>
          <v:imagedata o:title=""/>
          <o:lock v:ext="edit"/>
          <v:textpath on="t" fitshape="t" fitpath="t" trim="f" xscale="f" string="zxxk.com" style="font-family:宋体;font-size:8pt;v-text-align:center;"/>
        </v:shape>
      </w:pict>
    </w:r>
    <w:r>
      <w:rPr>
        <w:color w:val="FFFFFF"/>
        <w:sz w:val="2"/>
        <w:szCs w:val="2"/>
      </w:rPr>
      <w:drawing>
        <wp:anchor distT="0" distB="0" distL="114300" distR="114300" simplePos="0" relativeHeight="251660288"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color w:val="FFFFFF"/>
        <w:sz w:val="2"/>
        <w:szCs w:val="2"/>
        <w:lang w:eastAsia="zh-CN"/>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73E4">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4FD51">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573E8">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7F50B">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53523">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B0F188"/>
    <w:multiLevelType w:val="singleLevel"/>
    <w:tmpl w:val="DBB0F188"/>
    <w:lvl w:ilvl="0" w:tentative="0">
      <w:start w:val="1"/>
      <w:numFmt w:val="chineseCounting"/>
      <w:suff w:val="nothing"/>
      <w:lvlText w:val="%1、"/>
      <w:lvlJc w:val="left"/>
      <w:rPr>
        <w:rFonts w:hint="eastAsia"/>
      </w:rPr>
    </w:lvl>
  </w:abstractNum>
  <w:abstractNum w:abstractNumId="1">
    <w:nsid w:val="4FB2125F"/>
    <w:multiLevelType w:val="singleLevel"/>
    <w:tmpl w:val="4FB2125F"/>
    <w:lvl w:ilvl="0" w:tentative="0">
      <w:start w:val="3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ZGE1NzhiZjM2OWRiYTgyNjM0OGU3MzQxNDQ2OTMifQ=="/>
  </w:docVars>
  <w:rsids>
    <w:rsidRoot w:val="00D27024"/>
    <w:rsid w:val="000B5013"/>
    <w:rsid w:val="001B3D0B"/>
    <w:rsid w:val="00225BEC"/>
    <w:rsid w:val="00304BE6"/>
    <w:rsid w:val="00323990"/>
    <w:rsid w:val="00394181"/>
    <w:rsid w:val="006600DA"/>
    <w:rsid w:val="00673A91"/>
    <w:rsid w:val="006D328C"/>
    <w:rsid w:val="00806DBC"/>
    <w:rsid w:val="009C4FBB"/>
    <w:rsid w:val="00CE3A2F"/>
    <w:rsid w:val="00D27024"/>
    <w:rsid w:val="00D62D74"/>
    <w:rsid w:val="00E52EE6"/>
    <w:rsid w:val="00F4649A"/>
    <w:rsid w:val="0172451D"/>
    <w:rsid w:val="06EA44C2"/>
    <w:rsid w:val="07230C2E"/>
    <w:rsid w:val="092B1053"/>
    <w:rsid w:val="0A1C672E"/>
    <w:rsid w:val="0A3B5CE8"/>
    <w:rsid w:val="0B9272DC"/>
    <w:rsid w:val="0C053D86"/>
    <w:rsid w:val="0E4365B1"/>
    <w:rsid w:val="0F400098"/>
    <w:rsid w:val="11264679"/>
    <w:rsid w:val="14894E83"/>
    <w:rsid w:val="16A7653E"/>
    <w:rsid w:val="1D724DC1"/>
    <w:rsid w:val="1F0B70C4"/>
    <w:rsid w:val="21E30208"/>
    <w:rsid w:val="22E87BB4"/>
    <w:rsid w:val="24D42DE8"/>
    <w:rsid w:val="25E67191"/>
    <w:rsid w:val="2D061D78"/>
    <w:rsid w:val="31CF50B3"/>
    <w:rsid w:val="3660254E"/>
    <w:rsid w:val="3682408E"/>
    <w:rsid w:val="3A962A6E"/>
    <w:rsid w:val="3AC31C7B"/>
    <w:rsid w:val="3B2D0303"/>
    <w:rsid w:val="3BD7455F"/>
    <w:rsid w:val="40BC6B48"/>
    <w:rsid w:val="43E04A58"/>
    <w:rsid w:val="465B73D5"/>
    <w:rsid w:val="47080D7E"/>
    <w:rsid w:val="4ABF7E83"/>
    <w:rsid w:val="4C62303C"/>
    <w:rsid w:val="4DFA5872"/>
    <w:rsid w:val="4F090EBE"/>
    <w:rsid w:val="56C47F18"/>
    <w:rsid w:val="58D06BED"/>
    <w:rsid w:val="591D48E6"/>
    <w:rsid w:val="59B457F7"/>
    <w:rsid w:val="59D33356"/>
    <w:rsid w:val="5D5F345A"/>
    <w:rsid w:val="60776BBA"/>
    <w:rsid w:val="60A4513A"/>
    <w:rsid w:val="62720F84"/>
    <w:rsid w:val="6D5E03E5"/>
    <w:rsid w:val="6E735ACE"/>
    <w:rsid w:val="6EC4728C"/>
    <w:rsid w:val="745E0CC8"/>
    <w:rsid w:val="78715184"/>
    <w:rsid w:val="78FA548A"/>
    <w:rsid w:val="79030AD3"/>
    <w:rsid w:val="79F755A3"/>
    <w:rsid w:val="7B386C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600" w:lineRule="exact"/>
    </w:pPr>
    <w:rPr>
      <w:sz w:val="18"/>
    </w:rPr>
  </w:style>
  <w:style w:type="paragraph" w:styleId="3">
    <w:name w:val="Plain Text"/>
    <w:basedOn w:val="1"/>
    <w:qFormat/>
    <w:uiPriority w:val="0"/>
    <w:rPr>
      <w:rFonts w:ascii="宋体" w:hAnsi="Courier New" w:cs="Courier New"/>
      <w:szCs w:val="21"/>
    </w:rPr>
  </w:style>
  <w:style w:type="paragraph" w:styleId="4">
    <w:name w:val="toc 5"/>
    <w:basedOn w:val="1"/>
    <w:next w:val="1"/>
    <w:qFormat/>
    <w:uiPriority w:val="0"/>
    <w:pPr>
      <w:wordWrap w:val="0"/>
      <w:spacing w:after="200" w:line="276" w:lineRule="auto"/>
      <w:ind w:left="1275"/>
      <w:jc w:val="both"/>
    </w:pPr>
    <w:rPr>
      <w:rFonts w:ascii="宋体" w:hAnsi="宋体"/>
      <w:lang w:eastAsia="zh-CN"/>
    </w:rPr>
  </w:style>
  <w:style w:type="paragraph" w:styleId="5">
    <w:name w:val="footer"/>
    <w:basedOn w:val="1"/>
    <w:link w:val="12"/>
    <w:qFormat/>
    <w:uiPriority w:val="0"/>
    <w:pPr>
      <w:tabs>
        <w:tab w:val="center" w:pos="4153"/>
        <w:tab w:val="right" w:pos="8306"/>
      </w:tabs>
      <w:snapToGrid w:val="0"/>
    </w:pPr>
    <w:rPr>
      <w:sz w:val="18"/>
      <w:szCs w:val="18"/>
    </w:rPr>
  </w:style>
  <w:style w:type="paragraph" w:styleId="6">
    <w:name w:val="header"/>
    <w:basedOn w:val="1"/>
    <w:link w:val="11"/>
    <w:qFormat/>
    <w:uiPriority w:val="0"/>
    <w:pPr>
      <w:tabs>
        <w:tab w:val="center" w:pos="4153"/>
        <w:tab w:val="right" w:pos="8306"/>
      </w:tabs>
      <w:snapToGrid w:val="0"/>
      <w:jc w:val="center"/>
    </w:pPr>
    <w:rPr>
      <w:sz w:val="18"/>
      <w:szCs w:val="18"/>
    </w:rPr>
  </w:style>
  <w:style w:type="table" w:styleId="8">
    <w:name w:val="Table Grid"/>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0">
    <w:name w:val="正文1"/>
    <w:qFormat/>
    <w:uiPriority w:val="0"/>
    <w:pPr>
      <w:widowControl w:val="0"/>
      <w:jc w:val="both"/>
    </w:pPr>
    <w:rPr>
      <w:rFonts w:ascii="Calibri" w:hAnsi="Calibri" w:eastAsia="宋体" w:cs="Times New Roman"/>
      <w:kern w:val="2"/>
      <w:sz w:val="21"/>
      <w:szCs w:val="24"/>
      <w:lang w:val="en-US" w:eastAsia="zh-CN" w:bidi="ar-SA"/>
    </w:rPr>
  </w:style>
  <w:style w:type="character" w:customStyle="1" w:styleId="11">
    <w:name w:val="页眉 字符"/>
    <w:basedOn w:val="9"/>
    <w:link w:val="6"/>
    <w:qFormat/>
    <w:uiPriority w:val="0"/>
    <w:rPr>
      <w:rFonts w:ascii="Times New Roman" w:hAnsi="Times New Roman" w:eastAsia="Times New Roman" w:cs="Times New Roman"/>
      <w:sz w:val="18"/>
      <w:szCs w:val="18"/>
      <w:lang w:eastAsia="en-US"/>
    </w:rPr>
  </w:style>
  <w:style w:type="character" w:customStyle="1" w:styleId="12">
    <w:name w:val="页脚 字符"/>
    <w:basedOn w:val="9"/>
    <w:link w:val="5"/>
    <w:qFormat/>
    <w:uiPriority w:val="0"/>
    <w:rPr>
      <w:rFonts w:ascii="Times New Roman" w:hAnsi="Times New Roman" w:eastAsia="Times New Roman" w:cs="Times New Roman"/>
      <w:sz w:val="18"/>
      <w:szCs w:val="18"/>
      <w:lang w:eastAsia="en-US"/>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25252525252525252525252525257B75232B38-A165-1FB7-499C-2E1C792CACB5%2525252525252525252525252525252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1945</Words>
  <Characters>2007</Characters>
  <Lines>66</Lines>
  <Paragraphs>18</Paragraphs>
  <TotalTime>27</TotalTime>
  <ScaleCrop>false</ScaleCrop>
  <LinksUpToDate>false</LinksUpToDate>
  <CharactersWithSpaces>2112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2023-09-25T03:02:00Z</dcterms:created>
  <dc:creator>Administrator</dc:creator>
  <cp:lastModifiedBy>冬虫草</cp:lastModifiedBy>
  <cp:lastPrinted>2025-03-17T01:52:00Z</cp:lastPrinted>
  <dcterms:modified xsi:type="dcterms:W3CDTF">2025-09-30T07:12:25Z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66AA4492D218468ABE0F5B86F9B690FC_12</vt:lpwstr>
  </property>
  <property fmtid="{D5CDD505-2E9C-101B-9397-08002B2CF9AE}" pid="4" name="KSOTemplateDocerSaveRecord">
    <vt:lpwstr>eyJoZGlkIjoiNjRiZGE1NzhiZjM2OWRiYTgyNjM0OGU3MzQxNDQ2OTMiLCJ1c2VySWQiOiI1MDY0MDY5OTcifQ==</vt:lpwstr>
  </property>
</Properties>
</file>